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BE541" w14:textId="77777777" w:rsidR="00A64CAA" w:rsidRPr="00CF0120" w:rsidRDefault="00A64CAA" w:rsidP="005E55AB">
      <w:pPr>
        <w:spacing w:after="0"/>
        <w:jc w:val="center"/>
        <w:rPr>
          <w:rFonts w:ascii="Verdana" w:hAnsi="Verdana"/>
          <w:b/>
          <w:bCs/>
          <w:sz w:val="20"/>
          <w:szCs w:val="20"/>
        </w:rPr>
      </w:pPr>
      <w:r w:rsidRPr="00CF0120">
        <w:rPr>
          <w:rFonts w:ascii="Verdana" w:hAnsi="Verdana"/>
          <w:b/>
          <w:bCs/>
          <w:sz w:val="20"/>
          <w:szCs w:val="20"/>
        </w:rPr>
        <w:t>PARTE 1</w:t>
      </w:r>
    </w:p>
    <w:p w14:paraId="1D36E7A0" w14:textId="77777777" w:rsidR="00A64CAA" w:rsidRPr="00CF0120" w:rsidRDefault="00A64CAA" w:rsidP="005E55AB">
      <w:pPr>
        <w:spacing w:after="0"/>
        <w:jc w:val="center"/>
        <w:rPr>
          <w:rFonts w:ascii="Verdana" w:hAnsi="Verdana"/>
          <w:b/>
          <w:bCs/>
          <w:sz w:val="20"/>
          <w:szCs w:val="20"/>
        </w:rPr>
      </w:pPr>
      <w:r w:rsidRPr="00CF0120">
        <w:rPr>
          <w:rFonts w:ascii="Verdana" w:hAnsi="Verdana"/>
          <w:b/>
          <w:bCs/>
          <w:sz w:val="20"/>
          <w:szCs w:val="20"/>
        </w:rPr>
        <w:t>ADMINISTRACIÓN DE RIESGOS</w:t>
      </w:r>
    </w:p>
    <w:p w14:paraId="499E56BA" w14:textId="77777777" w:rsidR="005E55AB" w:rsidRDefault="005E55AB" w:rsidP="005E55AB">
      <w:pPr>
        <w:spacing w:after="0"/>
        <w:jc w:val="center"/>
        <w:rPr>
          <w:rFonts w:ascii="Verdana" w:hAnsi="Verdana"/>
          <w:b/>
          <w:bCs/>
          <w:sz w:val="20"/>
          <w:szCs w:val="20"/>
        </w:rPr>
      </w:pPr>
    </w:p>
    <w:p w14:paraId="3CCDA678" w14:textId="0A892007" w:rsidR="00A64CAA" w:rsidRPr="00CF0120" w:rsidRDefault="00A64CAA" w:rsidP="005E55AB">
      <w:pPr>
        <w:spacing w:after="0"/>
        <w:jc w:val="center"/>
        <w:rPr>
          <w:rFonts w:ascii="Verdana" w:hAnsi="Verdana"/>
          <w:b/>
          <w:bCs/>
          <w:sz w:val="20"/>
          <w:szCs w:val="20"/>
        </w:rPr>
      </w:pPr>
      <w:r w:rsidRPr="00CF0120">
        <w:rPr>
          <w:rFonts w:ascii="Verdana" w:hAnsi="Verdana"/>
          <w:b/>
          <w:bCs/>
          <w:sz w:val="20"/>
          <w:szCs w:val="20"/>
        </w:rPr>
        <w:t>CAPÍTULO 1</w:t>
      </w:r>
    </w:p>
    <w:p w14:paraId="38781A38" w14:textId="2027CBCD" w:rsidR="00A64CAA" w:rsidRPr="00CF0120" w:rsidRDefault="00A64CAA" w:rsidP="005E55AB">
      <w:pPr>
        <w:spacing w:after="0"/>
        <w:jc w:val="center"/>
        <w:rPr>
          <w:rFonts w:ascii="Verdana" w:hAnsi="Verdana"/>
          <w:b/>
          <w:bCs/>
          <w:sz w:val="20"/>
          <w:szCs w:val="20"/>
        </w:rPr>
      </w:pPr>
      <w:r w:rsidRPr="00CF0120">
        <w:rPr>
          <w:rFonts w:ascii="Verdana" w:hAnsi="Verdana"/>
          <w:b/>
          <w:bCs/>
          <w:sz w:val="20"/>
          <w:szCs w:val="20"/>
        </w:rPr>
        <w:t>SISTEMA INTEGRAL DE ADMINISTRACIÓN DE RIESGOS</w:t>
      </w:r>
    </w:p>
    <w:p w14:paraId="72929AE6" w14:textId="31C22E8C" w:rsidR="00A64CAA" w:rsidRPr="00CF0120" w:rsidRDefault="00A64CAA" w:rsidP="005E55AB">
      <w:pPr>
        <w:spacing w:after="0"/>
        <w:jc w:val="center"/>
        <w:rPr>
          <w:rFonts w:ascii="Verdana" w:hAnsi="Verdana"/>
          <w:b/>
          <w:bCs/>
          <w:sz w:val="20"/>
          <w:szCs w:val="20"/>
        </w:rPr>
      </w:pPr>
      <w:r w:rsidRPr="00CF0120">
        <w:rPr>
          <w:rFonts w:ascii="Verdana" w:hAnsi="Verdana"/>
          <w:b/>
          <w:bCs/>
          <w:sz w:val="20"/>
          <w:szCs w:val="20"/>
        </w:rPr>
        <w:t>(SIAR)</w:t>
      </w:r>
    </w:p>
    <w:p w14:paraId="62B1575B" w14:textId="77777777" w:rsidR="005E55AB" w:rsidRDefault="005E55AB" w:rsidP="005E55AB">
      <w:pPr>
        <w:spacing w:after="0"/>
        <w:jc w:val="center"/>
        <w:rPr>
          <w:rFonts w:ascii="Verdana" w:hAnsi="Verdana"/>
          <w:b/>
          <w:bCs/>
          <w:sz w:val="20"/>
          <w:szCs w:val="20"/>
        </w:rPr>
      </w:pPr>
    </w:p>
    <w:p w14:paraId="1F071BFB" w14:textId="5A720186" w:rsidR="00A64CAA" w:rsidRPr="00CF0120" w:rsidRDefault="00A64CAA" w:rsidP="005E55AB">
      <w:pPr>
        <w:spacing w:after="0"/>
        <w:jc w:val="center"/>
        <w:rPr>
          <w:rFonts w:ascii="Verdana" w:hAnsi="Verdana"/>
          <w:b/>
          <w:bCs/>
          <w:sz w:val="20"/>
          <w:szCs w:val="20"/>
        </w:rPr>
      </w:pPr>
      <w:r w:rsidRPr="00CF0120">
        <w:rPr>
          <w:rFonts w:ascii="Verdana" w:hAnsi="Verdana"/>
          <w:b/>
          <w:bCs/>
          <w:sz w:val="20"/>
          <w:szCs w:val="20"/>
        </w:rPr>
        <w:t xml:space="preserve">ANEXO </w:t>
      </w:r>
      <w:r w:rsidR="00C54237">
        <w:rPr>
          <w:rFonts w:ascii="Verdana" w:hAnsi="Verdana"/>
          <w:b/>
          <w:bCs/>
          <w:sz w:val="20"/>
          <w:szCs w:val="20"/>
        </w:rPr>
        <w:t>11</w:t>
      </w:r>
    </w:p>
    <w:p w14:paraId="0B41CB87" w14:textId="2B4902DE" w:rsidR="00653ABF" w:rsidRPr="00653ABF" w:rsidRDefault="00653ABF" w:rsidP="005E55AB">
      <w:pPr>
        <w:pStyle w:val="Sinespaciado"/>
        <w:jc w:val="center"/>
        <w:rPr>
          <w:rFonts w:ascii="Verdana" w:hAnsi="Verdana" w:cs="Arial"/>
          <w:b/>
        </w:rPr>
      </w:pPr>
      <w:r w:rsidRPr="00653ABF">
        <w:rPr>
          <w:rFonts w:ascii="Verdana" w:hAnsi="Verdana" w:cs="Arial"/>
          <w:b/>
        </w:rPr>
        <w:t>METODOLOGÍA PARA LA MEDICIÓN Y REPORTE ESTÁNDAR DEL RIESGO DE LIQUIDEZ DE LOS FONDOS DE INVERSION COLECTIVA (FIC) ABIERTOS</w:t>
      </w:r>
    </w:p>
    <w:p w14:paraId="7629ABA4" w14:textId="77777777" w:rsidR="00653ABF" w:rsidRPr="00653ABF" w:rsidRDefault="00653ABF" w:rsidP="005E55AB">
      <w:pPr>
        <w:pStyle w:val="Sinespaciado"/>
        <w:jc w:val="center"/>
        <w:rPr>
          <w:rFonts w:ascii="Verdana" w:hAnsi="Verdana" w:cs="Arial"/>
          <w:b/>
        </w:rPr>
      </w:pPr>
      <w:r w:rsidRPr="00653ABF">
        <w:rPr>
          <w:rFonts w:ascii="Verdana" w:hAnsi="Verdana" w:cs="Arial"/>
          <w:b/>
        </w:rPr>
        <w:t>SIN PACTO DE PERMANENCIA</w:t>
      </w:r>
    </w:p>
    <w:p w14:paraId="34FD7863" w14:textId="77777777" w:rsidR="009D6127" w:rsidRDefault="009D6127" w:rsidP="009D6127">
      <w:pPr>
        <w:rPr>
          <w:rFonts w:ascii="Verdana" w:hAnsi="Verdana"/>
          <w:b/>
          <w:bCs/>
          <w:sz w:val="20"/>
          <w:szCs w:val="20"/>
        </w:rPr>
      </w:pPr>
    </w:p>
    <w:p w14:paraId="6A7E74B0" w14:textId="7CD64F1F" w:rsidR="00D65BA0" w:rsidRPr="00964B84" w:rsidRDefault="00770B66" w:rsidP="00FF65AC">
      <w:pPr>
        <w:jc w:val="both"/>
        <w:rPr>
          <w:rFonts w:ascii="Verdana" w:hAnsi="Verdana"/>
          <w:sz w:val="20"/>
          <w:szCs w:val="20"/>
        </w:rPr>
      </w:pPr>
      <w:r w:rsidRPr="00FF2D18">
        <w:rPr>
          <w:rFonts w:ascii="Verdana" w:hAnsi="Verdana"/>
          <w:b/>
          <w:bCs/>
          <w:sz w:val="20"/>
          <w:szCs w:val="20"/>
        </w:rPr>
        <w:t>CONSIDERACIONES GENERALES</w:t>
      </w:r>
    </w:p>
    <w:p w14:paraId="4E9A64C2" w14:textId="01005F00" w:rsidR="00D74F39" w:rsidRPr="00964B84" w:rsidRDefault="00D74F39" w:rsidP="00D74F39">
      <w:pPr>
        <w:spacing w:after="0"/>
        <w:rPr>
          <w:rFonts w:ascii="Verdana" w:hAnsi="Verdana"/>
          <w:sz w:val="20"/>
          <w:szCs w:val="20"/>
        </w:rPr>
      </w:pPr>
      <w:r w:rsidRPr="00964B84">
        <w:rPr>
          <w:rFonts w:ascii="Verdana" w:hAnsi="Verdana"/>
          <w:sz w:val="20"/>
          <w:szCs w:val="20"/>
        </w:rPr>
        <w:t>1.1.A1</w:t>
      </w:r>
      <w:r w:rsidR="001E0C9F" w:rsidRPr="00964B84">
        <w:rPr>
          <w:rFonts w:ascii="Verdana" w:hAnsi="Verdana"/>
          <w:sz w:val="20"/>
          <w:szCs w:val="20"/>
        </w:rPr>
        <w:t>1</w:t>
      </w:r>
      <w:r w:rsidRPr="00964B84">
        <w:rPr>
          <w:rFonts w:ascii="Verdana" w:hAnsi="Verdana"/>
          <w:sz w:val="20"/>
          <w:szCs w:val="20"/>
        </w:rPr>
        <w:t>.1.</w:t>
      </w:r>
    </w:p>
    <w:p w14:paraId="104F6CD7" w14:textId="09D6D142" w:rsidR="00D65BA0" w:rsidRPr="00964B84" w:rsidRDefault="00D65BA0" w:rsidP="00D65BA0">
      <w:pPr>
        <w:pStyle w:val="Textoindependiente"/>
        <w:rPr>
          <w:rFonts w:ascii="Verdana" w:hAnsi="Verdana" w:cs="Arial"/>
          <w:sz w:val="20"/>
        </w:rPr>
      </w:pPr>
      <w:r w:rsidRPr="00964B84">
        <w:rPr>
          <w:rFonts w:ascii="Verdana" w:hAnsi="Verdana" w:cs="Arial"/>
          <w:sz w:val="20"/>
        </w:rPr>
        <w:t xml:space="preserve">En el presente </w:t>
      </w:r>
      <w:r w:rsidR="00770B66">
        <w:rPr>
          <w:rFonts w:ascii="Verdana" w:hAnsi="Verdana" w:cs="Arial"/>
          <w:sz w:val="20"/>
        </w:rPr>
        <w:t>a</w:t>
      </w:r>
      <w:r w:rsidRPr="00964B84">
        <w:rPr>
          <w:rFonts w:ascii="Verdana" w:hAnsi="Verdana" w:cs="Arial"/>
          <w:sz w:val="20"/>
        </w:rPr>
        <w:t xml:space="preserve">nexo se establece la metodología </w:t>
      </w:r>
      <w:r w:rsidR="00A17778">
        <w:rPr>
          <w:rFonts w:ascii="Verdana" w:hAnsi="Verdana" w:cs="Arial"/>
          <w:sz w:val="20"/>
        </w:rPr>
        <w:t xml:space="preserve">estándar </w:t>
      </w:r>
      <w:r w:rsidRPr="00964B84">
        <w:rPr>
          <w:rFonts w:ascii="Verdana" w:hAnsi="Verdana" w:cs="Arial"/>
          <w:sz w:val="20"/>
        </w:rPr>
        <w:t xml:space="preserve">para </w:t>
      </w:r>
      <w:r w:rsidRPr="00964B84">
        <w:rPr>
          <w:rFonts w:ascii="Verdana" w:hAnsi="Verdana" w:cs="Arial"/>
          <w:bCs/>
          <w:sz w:val="20"/>
        </w:rPr>
        <w:t xml:space="preserve">la medición del riesgo de liquidez </w:t>
      </w:r>
      <w:r w:rsidRPr="00964B84">
        <w:rPr>
          <w:rFonts w:ascii="Verdana" w:hAnsi="Verdana" w:cs="Arial"/>
          <w:sz w:val="20"/>
        </w:rPr>
        <w:t>de los FIC abiertos sin pacto de permanencia</w:t>
      </w:r>
      <w:r w:rsidR="00AC5555">
        <w:rPr>
          <w:rFonts w:ascii="Verdana" w:hAnsi="Verdana" w:cs="Arial"/>
          <w:sz w:val="20"/>
        </w:rPr>
        <w:t xml:space="preserve">, así como </w:t>
      </w:r>
      <w:r w:rsidR="00AC5555" w:rsidRPr="00964B84">
        <w:rPr>
          <w:rFonts w:ascii="Verdana" w:hAnsi="Verdana" w:cs="Arial"/>
          <w:sz w:val="20"/>
        </w:rPr>
        <w:t xml:space="preserve">las características del </w:t>
      </w:r>
      <w:r w:rsidR="00AC5555" w:rsidRPr="00964B84">
        <w:rPr>
          <w:rFonts w:ascii="Verdana" w:hAnsi="Verdana" w:cs="Arial"/>
          <w:bCs/>
          <w:sz w:val="20"/>
        </w:rPr>
        <w:t>reporte estándar</w:t>
      </w:r>
      <w:r w:rsidRPr="00964B84">
        <w:rPr>
          <w:rFonts w:ascii="Verdana" w:hAnsi="Verdana" w:cs="Arial"/>
          <w:sz w:val="20"/>
        </w:rPr>
        <w:t>.</w:t>
      </w:r>
    </w:p>
    <w:p w14:paraId="520F32F8" w14:textId="77777777" w:rsidR="00D65BA0" w:rsidRPr="00964B84" w:rsidRDefault="00D65BA0" w:rsidP="00D65BA0">
      <w:pPr>
        <w:pStyle w:val="Textoindependiente"/>
        <w:rPr>
          <w:rFonts w:ascii="Verdana" w:hAnsi="Verdana" w:cs="Arial"/>
          <w:i/>
          <w:sz w:val="20"/>
        </w:rPr>
      </w:pPr>
    </w:p>
    <w:p w14:paraId="792BAB7F" w14:textId="6B1E4378" w:rsidR="00BF1FC5" w:rsidRPr="00964B84" w:rsidRDefault="00BF1FC5" w:rsidP="00BF1FC5">
      <w:pPr>
        <w:spacing w:after="0"/>
        <w:rPr>
          <w:rFonts w:ascii="Verdana" w:hAnsi="Verdana"/>
          <w:sz w:val="20"/>
          <w:szCs w:val="20"/>
        </w:rPr>
      </w:pPr>
      <w:r w:rsidRPr="00964B84">
        <w:rPr>
          <w:rFonts w:ascii="Verdana" w:hAnsi="Verdana"/>
          <w:sz w:val="20"/>
          <w:szCs w:val="20"/>
        </w:rPr>
        <w:t>1.1.A11.2.</w:t>
      </w:r>
    </w:p>
    <w:p w14:paraId="2C233D25" w14:textId="64DD2046" w:rsidR="00D65BA0" w:rsidRPr="00964B84" w:rsidRDefault="00D65BA0" w:rsidP="00D65BA0">
      <w:pPr>
        <w:spacing w:after="0" w:line="240" w:lineRule="auto"/>
        <w:jc w:val="both"/>
        <w:outlineLvl w:val="0"/>
        <w:rPr>
          <w:rFonts w:ascii="Verdana" w:hAnsi="Verdana" w:cs="Arial"/>
          <w:sz w:val="20"/>
          <w:szCs w:val="20"/>
          <w:lang w:val="es-MX"/>
        </w:rPr>
      </w:pPr>
      <w:r w:rsidRPr="00964B84">
        <w:rPr>
          <w:rFonts w:ascii="Verdana" w:hAnsi="Verdana" w:cs="Arial"/>
          <w:sz w:val="20"/>
          <w:szCs w:val="20"/>
          <w:lang w:val="es-MX"/>
        </w:rPr>
        <w:t xml:space="preserve">Las SCBV, las SF y las SAI como sociedades administradoras de FIC, en adelante las entidades, deben </w:t>
      </w:r>
      <w:r w:rsidR="00E679B4">
        <w:rPr>
          <w:rFonts w:ascii="Verdana" w:hAnsi="Verdana" w:cs="Arial"/>
          <w:sz w:val="20"/>
          <w:szCs w:val="20"/>
          <w:lang w:val="es-MX"/>
        </w:rPr>
        <w:t xml:space="preserve">cumplir </w:t>
      </w:r>
      <w:r w:rsidRPr="00964B84">
        <w:rPr>
          <w:rFonts w:ascii="Verdana" w:hAnsi="Verdana" w:cs="Arial"/>
          <w:sz w:val="20"/>
          <w:szCs w:val="20"/>
          <w:lang w:val="es-MX"/>
        </w:rPr>
        <w:t>diariamente</w:t>
      </w:r>
      <w:r w:rsidR="00E679B4">
        <w:rPr>
          <w:rFonts w:ascii="Verdana" w:hAnsi="Verdana" w:cs="Arial"/>
          <w:sz w:val="20"/>
          <w:szCs w:val="20"/>
          <w:lang w:val="es-MX"/>
        </w:rPr>
        <w:t xml:space="preserve"> lo siguiente</w:t>
      </w:r>
      <w:r w:rsidRPr="00964B84">
        <w:rPr>
          <w:rFonts w:ascii="Verdana" w:hAnsi="Verdana" w:cs="Arial"/>
          <w:sz w:val="20"/>
          <w:szCs w:val="20"/>
          <w:lang w:val="es-MX"/>
        </w:rPr>
        <w:t>, respecto de los FIC abiertos sin pacto de permanencia:</w:t>
      </w:r>
    </w:p>
    <w:p w14:paraId="5EED813E" w14:textId="2FB50B1F" w:rsidR="00D65BA0" w:rsidRPr="00964B84" w:rsidRDefault="00D65BA0" w:rsidP="00D65BA0">
      <w:pPr>
        <w:spacing w:after="0" w:line="240" w:lineRule="auto"/>
        <w:jc w:val="both"/>
        <w:outlineLvl w:val="0"/>
        <w:rPr>
          <w:rFonts w:ascii="Verdana" w:hAnsi="Verdana" w:cs="Arial"/>
          <w:sz w:val="20"/>
          <w:szCs w:val="20"/>
          <w:lang w:val="es-MX"/>
        </w:rPr>
      </w:pPr>
    </w:p>
    <w:p w14:paraId="58840854" w14:textId="4E492941" w:rsidR="00D65BA0" w:rsidRPr="00964B84" w:rsidRDefault="00D65BA0" w:rsidP="005F3CA8">
      <w:pPr>
        <w:pStyle w:val="Prrafodelista"/>
        <w:numPr>
          <w:ilvl w:val="0"/>
          <w:numId w:val="4"/>
        </w:numPr>
        <w:spacing w:after="0" w:line="240" w:lineRule="auto"/>
        <w:ind w:left="567" w:hanging="567"/>
        <w:jc w:val="both"/>
        <w:outlineLvl w:val="0"/>
        <w:rPr>
          <w:rFonts w:ascii="Verdana" w:hAnsi="Verdana" w:cs="Arial"/>
          <w:i/>
          <w:sz w:val="20"/>
          <w:szCs w:val="20"/>
          <w:lang w:val="es-MX"/>
        </w:rPr>
      </w:pPr>
      <w:r w:rsidRPr="00964B84">
        <w:rPr>
          <w:rFonts w:ascii="Verdana" w:hAnsi="Verdana" w:cs="Arial"/>
          <w:sz w:val="20"/>
          <w:szCs w:val="20"/>
          <w:lang w:val="es-MX"/>
        </w:rPr>
        <w:t xml:space="preserve">Realizar la medición del riesgo de liquidez de acuerdo con las instrucciones del presente </w:t>
      </w:r>
      <w:r w:rsidR="00AF07D1">
        <w:rPr>
          <w:rFonts w:ascii="Verdana" w:hAnsi="Verdana" w:cs="Arial"/>
          <w:sz w:val="20"/>
          <w:szCs w:val="20"/>
          <w:lang w:val="es-MX"/>
        </w:rPr>
        <w:t>a</w:t>
      </w:r>
      <w:r w:rsidRPr="00964B84">
        <w:rPr>
          <w:rFonts w:ascii="Verdana" w:hAnsi="Verdana" w:cs="Arial"/>
          <w:sz w:val="20"/>
          <w:szCs w:val="20"/>
          <w:lang w:val="es-MX"/>
        </w:rPr>
        <w:t>nexo a partir de la información vigente para la fecha de corte del día hábil anterior</w:t>
      </w:r>
      <w:r w:rsidR="00E679B4">
        <w:rPr>
          <w:rFonts w:ascii="Verdana" w:hAnsi="Verdana" w:cs="Arial"/>
          <w:sz w:val="20"/>
          <w:szCs w:val="20"/>
          <w:lang w:val="es-MX"/>
        </w:rPr>
        <w:t>.</w:t>
      </w:r>
    </w:p>
    <w:p w14:paraId="5C40726E" w14:textId="77777777" w:rsidR="00D65BA0" w:rsidRPr="00964B84" w:rsidRDefault="00D65BA0" w:rsidP="0011223B">
      <w:pPr>
        <w:pStyle w:val="Prrafodelista"/>
        <w:ind w:left="567" w:hanging="567"/>
        <w:jc w:val="both"/>
        <w:outlineLvl w:val="0"/>
        <w:rPr>
          <w:rFonts w:ascii="Verdana" w:hAnsi="Verdana" w:cs="Arial"/>
          <w:i/>
          <w:sz w:val="20"/>
          <w:szCs w:val="20"/>
          <w:lang w:val="es-MX"/>
        </w:rPr>
      </w:pPr>
    </w:p>
    <w:p w14:paraId="60320D46" w14:textId="24DF234B" w:rsidR="00D65BA0" w:rsidRDefault="00D65BA0" w:rsidP="00770B66">
      <w:pPr>
        <w:pStyle w:val="Prrafodelista"/>
        <w:numPr>
          <w:ilvl w:val="0"/>
          <w:numId w:val="4"/>
        </w:numPr>
        <w:spacing w:after="0" w:line="240" w:lineRule="auto"/>
        <w:ind w:left="567" w:hanging="567"/>
        <w:jc w:val="both"/>
        <w:outlineLvl w:val="0"/>
        <w:rPr>
          <w:rFonts w:ascii="Verdana" w:hAnsi="Verdana" w:cs="Arial"/>
          <w:i/>
          <w:sz w:val="20"/>
          <w:szCs w:val="20"/>
          <w:lang w:val="es-MX"/>
        </w:rPr>
      </w:pPr>
      <w:r w:rsidRPr="00964B84">
        <w:rPr>
          <w:rFonts w:ascii="Verdana" w:hAnsi="Verdana" w:cs="Arial"/>
          <w:sz w:val="20"/>
          <w:szCs w:val="20"/>
          <w:lang w:val="es-MX"/>
        </w:rPr>
        <w:t>Dar cumplimiento a los límites establecidos para cada categoría de FIC.</w:t>
      </w:r>
    </w:p>
    <w:p w14:paraId="4E700247" w14:textId="77777777" w:rsidR="00770B66" w:rsidRPr="00770B66" w:rsidRDefault="00770B66" w:rsidP="00770B66">
      <w:pPr>
        <w:spacing w:after="0" w:line="240" w:lineRule="auto"/>
        <w:jc w:val="both"/>
        <w:outlineLvl w:val="0"/>
        <w:rPr>
          <w:rFonts w:ascii="Verdana" w:hAnsi="Verdana" w:cs="Arial"/>
          <w:i/>
          <w:sz w:val="20"/>
          <w:szCs w:val="20"/>
          <w:lang w:val="es-MX"/>
        </w:rPr>
      </w:pPr>
    </w:p>
    <w:p w14:paraId="1379BB24" w14:textId="36526F02" w:rsidR="0011223B" w:rsidRPr="00964B84" w:rsidRDefault="0011223B" w:rsidP="0011223B">
      <w:pPr>
        <w:spacing w:after="0"/>
        <w:rPr>
          <w:rFonts w:ascii="Verdana" w:hAnsi="Verdana"/>
          <w:sz w:val="20"/>
          <w:szCs w:val="20"/>
        </w:rPr>
      </w:pPr>
      <w:r w:rsidRPr="00964B84">
        <w:rPr>
          <w:rFonts w:ascii="Verdana" w:hAnsi="Verdana"/>
          <w:sz w:val="20"/>
          <w:szCs w:val="20"/>
        </w:rPr>
        <w:t>1.1.A11.3.</w:t>
      </w:r>
    </w:p>
    <w:p w14:paraId="7B3413F0" w14:textId="235634B4" w:rsidR="00D65BA0" w:rsidRPr="00964B84" w:rsidRDefault="00D65BA0" w:rsidP="00D65BA0">
      <w:pPr>
        <w:spacing w:after="0" w:line="240" w:lineRule="auto"/>
        <w:jc w:val="both"/>
        <w:rPr>
          <w:rFonts w:ascii="Verdana" w:hAnsi="Verdana" w:cs="Arial"/>
          <w:sz w:val="20"/>
          <w:szCs w:val="20"/>
          <w:lang w:val="es-MX"/>
        </w:rPr>
      </w:pPr>
      <w:r w:rsidRPr="00AC5555">
        <w:rPr>
          <w:rFonts w:ascii="Verdana" w:hAnsi="Verdana" w:cs="Arial"/>
          <w:sz w:val="20"/>
          <w:szCs w:val="20"/>
          <w:lang w:val="es-MX"/>
        </w:rPr>
        <w:t xml:space="preserve">Las entidades deben remitir a la SFC, el primer día hábil de cada semana, </w:t>
      </w:r>
      <w:r w:rsidR="00906336" w:rsidRPr="00AC5555">
        <w:rPr>
          <w:rFonts w:ascii="Verdana" w:hAnsi="Verdana" w:cs="Arial"/>
          <w:sz w:val="20"/>
          <w:szCs w:val="20"/>
          <w:lang w:val="es-MX"/>
        </w:rPr>
        <w:t xml:space="preserve">la información en la proforma </w:t>
      </w:r>
      <w:r w:rsidR="00906336" w:rsidRPr="00AC5555">
        <w:rPr>
          <w:rFonts w:ascii="Verdana" w:hAnsi="Verdana"/>
          <w:sz w:val="20"/>
          <w:szCs w:val="20"/>
        </w:rPr>
        <w:t>publicada para el efecto en la página web de la SFC</w:t>
      </w:r>
      <w:r w:rsidRPr="003C726D">
        <w:rPr>
          <w:rFonts w:ascii="Verdana" w:hAnsi="Verdana" w:cs="Arial"/>
          <w:sz w:val="20"/>
          <w:szCs w:val="20"/>
          <w:lang w:val="es-MX"/>
        </w:rPr>
        <w:t xml:space="preserve"> por cada uno de los FIC abiertos sin pacto de permanencia administrado. </w:t>
      </w:r>
      <w:r w:rsidR="008150F3">
        <w:rPr>
          <w:rFonts w:ascii="Verdana" w:hAnsi="Verdana" w:cs="Arial"/>
          <w:sz w:val="20"/>
          <w:szCs w:val="20"/>
          <w:lang w:val="es-MX"/>
        </w:rPr>
        <w:t xml:space="preserve">La entidad </w:t>
      </w:r>
      <w:r w:rsidRPr="003C726D">
        <w:rPr>
          <w:rFonts w:ascii="Verdana" w:hAnsi="Verdana" w:cs="Arial"/>
          <w:sz w:val="20"/>
          <w:szCs w:val="20"/>
          <w:lang w:val="es-MX"/>
        </w:rPr>
        <w:t>debe registrar la medición del riesgo de liquidez realizada a partir de la información vigente a la fecha de corte de cada uno de los días hábiles de la semana inmediatamente anterior.</w:t>
      </w:r>
    </w:p>
    <w:p w14:paraId="17EDD267" w14:textId="77777777" w:rsidR="00D65BA0" w:rsidRPr="00964B84" w:rsidRDefault="00D65BA0" w:rsidP="00D65BA0">
      <w:pPr>
        <w:spacing w:after="0" w:line="240" w:lineRule="auto"/>
        <w:jc w:val="both"/>
        <w:rPr>
          <w:rFonts w:ascii="Verdana" w:hAnsi="Verdana" w:cs="Arial"/>
          <w:i/>
          <w:sz w:val="20"/>
          <w:szCs w:val="20"/>
          <w:lang w:val="es-MX"/>
        </w:rPr>
      </w:pPr>
    </w:p>
    <w:p w14:paraId="7BA3EE5D" w14:textId="4BA4749E" w:rsidR="002714A6" w:rsidRPr="00964B84" w:rsidRDefault="002714A6" w:rsidP="002714A6">
      <w:pPr>
        <w:spacing w:after="0"/>
        <w:rPr>
          <w:rFonts w:ascii="Verdana" w:hAnsi="Verdana"/>
          <w:sz w:val="20"/>
          <w:szCs w:val="20"/>
        </w:rPr>
      </w:pPr>
      <w:r w:rsidRPr="00964B84">
        <w:rPr>
          <w:rFonts w:ascii="Verdana" w:hAnsi="Verdana"/>
          <w:sz w:val="20"/>
          <w:szCs w:val="20"/>
        </w:rPr>
        <w:t>1.1.A11.4.</w:t>
      </w:r>
    </w:p>
    <w:p w14:paraId="19AD88C5" w14:textId="67061225" w:rsidR="00D65BA0" w:rsidRPr="00964B84" w:rsidRDefault="00D65BA0" w:rsidP="00D65BA0">
      <w:pPr>
        <w:spacing w:after="0" w:line="240" w:lineRule="auto"/>
        <w:jc w:val="both"/>
        <w:rPr>
          <w:rFonts w:ascii="Verdana" w:hAnsi="Verdana" w:cs="Arial"/>
          <w:sz w:val="20"/>
          <w:szCs w:val="20"/>
          <w:lang w:val="es-MX"/>
        </w:rPr>
      </w:pPr>
      <w:r w:rsidRPr="00964B84">
        <w:rPr>
          <w:rFonts w:ascii="Verdana" w:hAnsi="Verdana" w:cs="Arial"/>
          <w:sz w:val="20"/>
          <w:szCs w:val="20"/>
          <w:lang w:val="es-MX"/>
        </w:rPr>
        <w:t>La información remitida sobre los valores razonables de los activos y/o sobre los flujos contractuales no debe contener ajuste alguno por factores de comportamiento histórico o proyectado u otro tipo de factores que pretendan reflejar una evolución prevista del comportamiento.</w:t>
      </w:r>
    </w:p>
    <w:p w14:paraId="7E90FCFF" w14:textId="77777777" w:rsidR="00D65BA0" w:rsidRPr="00964B84" w:rsidRDefault="00D65BA0" w:rsidP="00D65BA0">
      <w:pPr>
        <w:spacing w:after="0" w:line="240" w:lineRule="auto"/>
        <w:jc w:val="both"/>
        <w:rPr>
          <w:rFonts w:ascii="Verdana" w:hAnsi="Verdana" w:cs="Arial"/>
          <w:sz w:val="20"/>
          <w:szCs w:val="20"/>
          <w:lang w:val="es-MX"/>
        </w:rPr>
      </w:pPr>
    </w:p>
    <w:p w14:paraId="06934DED" w14:textId="57BFB58F" w:rsidR="00D65BA0" w:rsidRPr="00770B66" w:rsidRDefault="00770B66" w:rsidP="00770B66">
      <w:pPr>
        <w:jc w:val="both"/>
        <w:rPr>
          <w:rFonts w:ascii="Verdana" w:hAnsi="Verdana"/>
          <w:b/>
          <w:bCs/>
          <w:sz w:val="20"/>
          <w:szCs w:val="20"/>
        </w:rPr>
      </w:pPr>
      <w:r w:rsidRPr="00FF2D18">
        <w:rPr>
          <w:rFonts w:ascii="Verdana" w:hAnsi="Verdana"/>
          <w:b/>
          <w:bCs/>
          <w:sz w:val="20"/>
          <w:szCs w:val="20"/>
        </w:rPr>
        <w:t>METODOLOGÍA ESTÁNDAR DE MEDICIÓN DEL RIESGO DE LIQUIDEZ PARA FIC ABIERTOS SIN PACTO DE PERMANENCIA</w:t>
      </w:r>
    </w:p>
    <w:p w14:paraId="7F5CF410" w14:textId="537D5131" w:rsidR="00D65BA0" w:rsidRPr="00964B84" w:rsidRDefault="00D65BA0" w:rsidP="00FF65AC">
      <w:pPr>
        <w:jc w:val="both"/>
        <w:rPr>
          <w:rFonts w:ascii="Verdana" w:hAnsi="Verdana"/>
          <w:b/>
          <w:i/>
          <w:sz w:val="20"/>
          <w:szCs w:val="20"/>
        </w:rPr>
      </w:pPr>
      <w:r w:rsidRPr="00FF2D18">
        <w:rPr>
          <w:rFonts w:ascii="Verdana" w:hAnsi="Verdana"/>
          <w:b/>
          <w:bCs/>
          <w:sz w:val="20"/>
          <w:szCs w:val="20"/>
        </w:rPr>
        <w:t>Categorías de FIC</w:t>
      </w:r>
    </w:p>
    <w:p w14:paraId="0FB8FBD5" w14:textId="7E704F9B" w:rsidR="00294D1E" w:rsidRPr="00964B84" w:rsidRDefault="00294D1E" w:rsidP="00294D1E">
      <w:pPr>
        <w:spacing w:after="0"/>
        <w:rPr>
          <w:rFonts w:ascii="Verdana" w:hAnsi="Verdana"/>
          <w:sz w:val="20"/>
          <w:szCs w:val="20"/>
        </w:rPr>
      </w:pPr>
      <w:r w:rsidRPr="00964B84">
        <w:rPr>
          <w:rFonts w:ascii="Verdana" w:hAnsi="Verdana"/>
          <w:sz w:val="20"/>
          <w:szCs w:val="20"/>
        </w:rPr>
        <w:t>1.1.A11.5.</w:t>
      </w:r>
    </w:p>
    <w:p w14:paraId="2C0C0E96" w14:textId="360D02F6"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Para efectos de la medición y gestión adecuada del riesgo de liquidez, los FIC abiertos sin pacto de permanencia deben ser clasificados en alguna de las siguientes categorías:</w:t>
      </w:r>
    </w:p>
    <w:p w14:paraId="6598653C" w14:textId="77777777" w:rsidR="00D65BA0" w:rsidRPr="00964B84" w:rsidRDefault="00D65BA0" w:rsidP="00D65BA0">
      <w:pPr>
        <w:pStyle w:val="Normal9pt"/>
        <w:numPr>
          <w:ilvl w:val="0"/>
          <w:numId w:val="0"/>
        </w:numPr>
        <w:rPr>
          <w:rFonts w:ascii="Verdana" w:hAnsi="Verdana"/>
          <w:i/>
          <w:sz w:val="20"/>
          <w:szCs w:val="20"/>
        </w:rPr>
      </w:pPr>
    </w:p>
    <w:p w14:paraId="54B7AA0C" w14:textId="70A51825" w:rsidR="00D65BA0" w:rsidRPr="00770B66" w:rsidRDefault="00D65BA0" w:rsidP="00770B66">
      <w:pPr>
        <w:pStyle w:val="Prrafodelista"/>
        <w:numPr>
          <w:ilvl w:val="0"/>
          <w:numId w:val="10"/>
        </w:numPr>
        <w:ind w:left="284" w:hanging="284"/>
        <w:jc w:val="both"/>
        <w:rPr>
          <w:rFonts w:ascii="Verdana" w:hAnsi="Verdana"/>
          <w:i/>
          <w:sz w:val="20"/>
          <w:szCs w:val="20"/>
        </w:rPr>
      </w:pPr>
      <w:r w:rsidRPr="00770B66">
        <w:rPr>
          <w:rFonts w:ascii="Verdana" w:hAnsi="Verdana"/>
          <w:b/>
          <w:bCs/>
          <w:sz w:val="20"/>
          <w:szCs w:val="20"/>
        </w:rPr>
        <w:t>FIC Monetario</w:t>
      </w:r>
    </w:p>
    <w:p w14:paraId="740E40F8" w14:textId="59539482" w:rsidR="00125E32" w:rsidRPr="00964B84" w:rsidRDefault="00125E32" w:rsidP="00125E32">
      <w:pPr>
        <w:spacing w:after="0"/>
        <w:rPr>
          <w:rFonts w:ascii="Verdana" w:hAnsi="Verdana"/>
          <w:sz w:val="20"/>
          <w:szCs w:val="20"/>
        </w:rPr>
      </w:pPr>
      <w:r w:rsidRPr="00964B84">
        <w:rPr>
          <w:rFonts w:ascii="Verdana" w:hAnsi="Verdana"/>
          <w:sz w:val="20"/>
          <w:szCs w:val="20"/>
        </w:rPr>
        <w:t>1.1.A11.6.</w:t>
      </w:r>
    </w:p>
    <w:p w14:paraId="25036979" w14:textId="513347A2" w:rsidR="00D65BA0" w:rsidRPr="00964B84" w:rsidRDefault="00D65BA0" w:rsidP="00D65BA0">
      <w:pPr>
        <w:pStyle w:val="Normal9pt"/>
        <w:numPr>
          <w:ilvl w:val="0"/>
          <w:numId w:val="0"/>
        </w:numPr>
        <w:rPr>
          <w:rFonts w:ascii="Verdana" w:hAnsi="Verdana"/>
          <w:b/>
          <w:i/>
          <w:sz w:val="20"/>
          <w:szCs w:val="20"/>
        </w:rPr>
      </w:pPr>
      <w:r w:rsidRPr="00964B84">
        <w:rPr>
          <w:rFonts w:ascii="Verdana" w:hAnsi="Verdana"/>
          <w:sz w:val="20"/>
          <w:szCs w:val="20"/>
        </w:rPr>
        <w:t xml:space="preserve">Se denominan FIC monetarios, los FIC del </w:t>
      </w:r>
      <w:r w:rsidRPr="00A634AD">
        <w:rPr>
          <w:rFonts w:ascii="Verdana" w:hAnsi="Verdana"/>
          <w:sz w:val="20"/>
          <w:szCs w:val="20"/>
        </w:rPr>
        <w:t>mercado monetario definidos en el artículo 3.2.1.1.1 del Decreto 2555 de 2010, y los FIC</w:t>
      </w:r>
      <w:r w:rsidRPr="00964B84">
        <w:rPr>
          <w:rFonts w:ascii="Verdana" w:hAnsi="Verdana"/>
          <w:sz w:val="20"/>
          <w:szCs w:val="20"/>
        </w:rPr>
        <w:t xml:space="preserve"> abiertos sin pacto de permanencia que en la definición del objeto u objetivo de inversión que hace parte de su reglamento, en sus fichas técnicas, en su página web y/o en sus prospectos</w:t>
      </w:r>
      <w:r w:rsidR="004E2C89">
        <w:rPr>
          <w:rFonts w:ascii="Verdana" w:hAnsi="Verdana"/>
          <w:sz w:val="20"/>
          <w:szCs w:val="20"/>
        </w:rPr>
        <w:t>,</w:t>
      </w:r>
      <w:r w:rsidRPr="00964B84">
        <w:rPr>
          <w:rFonts w:ascii="Verdana" w:hAnsi="Verdana"/>
          <w:sz w:val="20"/>
          <w:szCs w:val="20"/>
        </w:rPr>
        <w:t xml:space="preserve"> establezcan alguna de las siguientes condiciones:</w:t>
      </w:r>
    </w:p>
    <w:p w14:paraId="0EF21C01" w14:textId="77777777" w:rsidR="00D65BA0" w:rsidRPr="00964B84" w:rsidRDefault="00D65BA0" w:rsidP="00D65BA0">
      <w:pPr>
        <w:pStyle w:val="Normal9pt"/>
        <w:numPr>
          <w:ilvl w:val="0"/>
          <w:numId w:val="0"/>
        </w:numPr>
        <w:rPr>
          <w:rFonts w:ascii="Verdana" w:hAnsi="Verdana"/>
          <w:i/>
          <w:sz w:val="20"/>
          <w:szCs w:val="20"/>
        </w:rPr>
      </w:pPr>
    </w:p>
    <w:p w14:paraId="79290C0E" w14:textId="77777777" w:rsidR="00D65BA0" w:rsidRPr="00964B84" w:rsidRDefault="00D65BA0" w:rsidP="005F3CA8">
      <w:pPr>
        <w:pStyle w:val="Normal9pt"/>
        <w:numPr>
          <w:ilvl w:val="0"/>
          <w:numId w:val="5"/>
        </w:numPr>
        <w:ind w:left="567" w:hanging="567"/>
        <w:rPr>
          <w:rFonts w:ascii="Verdana" w:hAnsi="Verdana"/>
          <w:i/>
          <w:sz w:val="20"/>
          <w:szCs w:val="20"/>
        </w:rPr>
      </w:pPr>
      <w:r w:rsidRPr="00964B84">
        <w:rPr>
          <w:rFonts w:ascii="Verdana" w:hAnsi="Verdana"/>
          <w:sz w:val="20"/>
          <w:szCs w:val="20"/>
        </w:rPr>
        <w:t>Denominarse como del mercado monetario.</w:t>
      </w:r>
    </w:p>
    <w:p w14:paraId="0310814A" w14:textId="77777777" w:rsidR="00770B66" w:rsidRPr="00770B66" w:rsidRDefault="00770B66" w:rsidP="00770B66">
      <w:pPr>
        <w:pStyle w:val="Normal9pt"/>
        <w:numPr>
          <w:ilvl w:val="0"/>
          <w:numId w:val="0"/>
        </w:numPr>
        <w:ind w:left="567"/>
        <w:rPr>
          <w:rFonts w:ascii="Verdana" w:hAnsi="Verdana"/>
          <w:i/>
          <w:sz w:val="20"/>
          <w:szCs w:val="20"/>
        </w:rPr>
      </w:pPr>
    </w:p>
    <w:p w14:paraId="0F9732B0" w14:textId="25DF5018" w:rsidR="00D65BA0" w:rsidRPr="00964B84" w:rsidRDefault="00D65BA0" w:rsidP="005F3CA8">
      <w:pPr>
        <w:pStyle w:val="Normal9pt"/>
        <w:numPr>
          <w:ilvl w:val="0"/>
          <w:numId w:val="5"/>
        </w:numPr>
        <w:ind w:left="567" w:hanging="567"/>
        <w:rPr>
          <w:rFonts w:ascii="Verdana" w:hAnsi="Verdana"/>
          <w:i/>
          <w:sz w:val="20"/>
          <w:szCs w:val="20"/>
        </w:rPr>
      </w:pPr>
      <w:r w:rsidRPr="00964B84">
        <w:rPr>
          <w:rFonts w:ascii="Verdana" w:hAnsi="Verdana"/>
          <w:sz w:val="20"/>
          <w:szCs w:val="20"/>
        </w:rPr>
        <w:t>Tener como objetivo la estabilidad, preservación o conservación del capital y liquidez de los recursos.</w:t>
      </w:r>
    </w:p>
    <w:p w14:paraId="4F329A03" w14:textId="77777777" w:rsidR="00770B66" w:rsidRPr="00770B66" w:rsidRDefault="00770B66" w:rsidP="00770B66">
      <w:pPr>
        <w:pStyle w:val="Normal9pt"/>
        <w:numPr>
          <w:ilvl w:val="0"/>
          <w:numId w:val="0"/>
        </w:numPr>
        <w:ind w:left="567"/>
        <w:rPr>
          <w:rFonts w:ascii="Verdana" w:hAnsi="Verdana"/>
          <w:i/>
          <w:sz w:val="20"/>
          <w:szCs w:val="20"/>
        </w:rPr>
      </w:pPr>
    </w:p>
    <w:p w14:paraId="6EF7D1BD" w14:textId="2B3C9BD2" w:rsidR="00D65BA0" w:rsidRPr="00964B84" w:rsidRDefault="00D65BA0" w:rsidP="005F3CA8">
      <w:pPr>
        <w:pStyle w:val="Normal9pt"/>
        <w:numPr>
          <w:ilvl w:val="0"/>
          <w:numId w:val="5"/>
        </w:numPr>
        <w:ind w:left="567" w:hanging="567"/>
        <w:rPr>
          <w:rFonts w:ascii="Verdana" w:hAnsi="Verdana"/>
          <w:i/>
          <w:sz w:val="20"/>
          <w:szCs w:val="20"/>
        </w:rPr>
      </w:pPr>
      <w:r w:rsidRPr="00964B84">
        <w:rPr>
          <w:rFonts w:ascii="Verdana" w:hAnsi="Verdana"/>
          <w:sz w:val="20"/>
          <w:szCs w:val="20"/>
          <w:lang w:val="es-CO"/>
        </w:rPr>
        <w:t>Establecer como tasa de referencia una tasa de interés del mercado monetario.</w:t>
      </w:r>
    </w:p>
    <w:p w14:paraId="3436427C" w14:textId="77777777" w:rsidR="00D65BA0" w:rsidRDefault="00D65BA0" w:rsidP="00964B84">
      <w:pPr>
        <w:pStyle w:val="Normal9pt"/>
        <w:numPr>
          <w:ilvl w:val="0"/>
          <w:numId w:val="0"/>
        </w:numPr>
        <w:rPr>
          <w:rFonts w:ascii="Verdana" w:hAnsi="Verdana"/>
          <w:i/>
          <w:sz w:val="20"/>
          <w:szCs w:val="20"/>
        </w:rPr>
      </w:pPr>
    </w:p>
    <w:p w14:paraId="51B1550F" w14:textId="77777777" w:rsidR="003E7191" w:rsidRPr="00964B84" w:rsidRDefault="003E7191" w:rsidP="00964B84">
      <w:pPr>
        <w:pStyle w:val="Normal9pt"/>
        <w:numPr>
          <w:ilvl w:val="0"/>
          <w:numId w:val="0"/>
        </w:numPr>
        <w:rPr>
          <w:rFonts w:ascii="Verdana" w:hAnsi="Verdana"/>
          <w:i/>
          <w:sz w:val="20"/>
          <w:szCs w:val="20"/>
        </w:rPr>
      </w:pPr>
    </w:p>
    <w:p w14:paraId="25AC1190" w14:textId="69B4A0BF" w:rsidR="00EF7F3A" w:rsidRPr="000E0B7B" w:rsidRDefault="00EF7F3A" w:rsidP="00EF7F3A">
      <w:pPr>
        <w:spacing w:after="0"/>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700F8A">
        <w:rPr>
          <w:rFonts w:ascii="Verdana" w:hAnsi="Verdana"/>
          <w:sz w:val="20"/>
          <w:szCs w:val="20"/>
        </w:rPr>
        <w:t>7</w:t>
      </w:r>
      <w:r w:rsidRPr="000E0B7B">
        <w:rPr>
          <w:rFonts w:ascii="Verdana" w:hAnsi="Verdana"/>
          <w:sz w:val="20"/>
          <w:szCs w:val="20"/>
        </w:rPr>
        <w:t>.</w:t>
      </w:r>
    </w:p>
    <w:p w14:paraId="20A16E95" w14:textId="233A7684"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En todo caso, en razón al ejercicio de supervisión la SFC puede determinar que un FIC se enmarca en esta categoría cuando su política de inversión (activos admisibles, plazo objetivo de las inversiones, plazo de redenciones, entre otros) y/o la composición del FIC presenten características que se asimilen a las de un FIC monetario.</w:t>
      </w:r>
    </w:p>
    <w:p w14:paraId="6C1C144E" w14:textId="77777777" w:rsidR="00D65BA0" w:rsidRPr="00964B84" w:rsidRDefault="00D65BA0" w:rsidP="00D65BA0">
      <w:pPr>
        <w:pStyle w:val="Normal9pt"/>
        <w:numPr>
          <w:ilvl w:val="0"/>
          <w:numId w:val="0"/>
        </w:numPr>
        <w:rPr>
          <w:rFonts w:ascii="Verdana" w:hAnsi="Verdana"/>
          <w:i/>
          <w:sz w:val="20"/>
          <w:szCs w:val="20"/>
        </w:rPr>
      </w:pPr>
    </w:p>
    <w:p w14:paraId="25066F85" w14:textId="72F263D5" w:rsidR="00D65BA0" w:rsidRPr="00770B66" w:rsidRDefault="00D65BA0" w:rsidP="00770B66">
      <w:pPr>
        <w:pStyle w:val="Prrafodelista"/>
        <w:numPr>
          <w:ilvl w:val="0"/>
          <w:numId w:val="10"/>
        </w:numPr>
        <w:ind w:left="284" w:hanging="284"/>
        <w:jc w:val="both"/>
        <w:rPr>
          <w:rFonts w:ascii="Verdana" w:hAnsi="Verdana"/>
          <w:i/>
          <w:sz w:val="20"/>
          <w:szCs w:val="20"/>
        </w:rPr>
      </w:pPr>
      <w:r w:rsidRPr="00770B66">
        <w:rPr>
          <w:rFonts w:ascii="Verdana" w:hAnsi="Verdana"/>
          <w:b/>
          <w:bCs/>
          <w:sz w:val="20"/>
          <w:szCs w:val="20"/>
        </w:rPr>
        <w:t xml:space="preserve">FIC de </w:t>
      </w:r>
      <w:r w:rsidR="00770B66" w:rsidRPr="00770B66">
        <w:rPr>
          <w:rFonts w:ascii="Verdana" w:hAnsi="Verdana"/>
          <w:b/>
          <w:bCs/>
          <w:sz w:val="20"/>
          <w:szCs w:val="20"/>
        </w:rPr>
        <w:t>r</w:t>
      </w:r>
      <w:r w:rsidRPr="00770B66">
        <w:rPr>
          <w:rFonts w:ascii="Verdana" w:hAnsi="Verdana"/>
          <w:b/>
          <w:bCs/>
          <w:sz w:val="20"/>
          <w:szCs w:val="20"/>
        </w:rPr>
        <w:t xml:space="preserve">enta </w:t>
      </w:r>
      <w:r w:rsidR="00770B66" w:rsidRPr="00770B66">
        <w:rPr>
          <w:rFonts w:ascii="Verdana" w:hAnsi="Verdana"/>
          <w:b/>
          <w:bCs/>
          <w:sz w:val="20"/>
          <w:szCs w:val="20"/>
        </w:rPr>
        <w:t>v</w:t>
      </w:r>
      <w:r w:rsidRPr="00770B66">
        <w:rPr>
          <w:rFonts w:ascii="Verdana" w:hAnsi="Verdana"/>
          <w:b/>
          <w:bCs/>
          <w:sz w:val="20"/>
          <w:szCs w:val="20"/>
        </w:rPr>
        <w:t>ariable</w:t>
      </w:r>
    </w:p>
    <w:p w14:paraId="5691A923" w14:textId="6CF77EE8" w:rsidR="002345B8" w:rsidRPr="000E0B7B" w:rsidRDefault="002345B8" w:rsidP="002345B8">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Pr>
          <w:rFonts w:ascii="Verdana" w:hAnsi="Verdana"/>
          <w:sz w:val="20"/>
          <w:szCs w:val="20"/>
        </w:rPr>
        <w:t>8</w:t>
      </w:r>
      <w:r w:rsidRPr="000E0B7B">
        <w:rPr>
          <w:rFonts w:ascii="Verdana" w:hAnsi="Verdana"/>
          <w:sz w:val="20"/>
          <w:szCs w:val="20"/>
        </w:rPr>
        <w:t>.</w:t>
      </w:r>
    </w:p>
    <w:p w14:paraId="02F114F1" w14:textId="53C8822A"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 xml:space="preserve">Se denominan FIC de </w:t>
      </w:r>
      <w:r w:rsidR="00770B66">
        <w:rPr>
          <w:rFonts w:ascii="Verdana" w:hAnsi="Verdana"/>
          <w:sz w:val="20"/>
          <w:szCs w:val="20"/>
        </w:rPr>
        <w:t>r</w:t>
      </w:r>
      <w:r w:rsidRPr="00964B84">
        <w:rPr>
          <w:rFonts w:ascii="Verdana" w:hAnsi="Verdana"/>
          <w:sz w:val="20"/>
          <w:szCs w:val="20"/>
        </w:rPr>
        <w:t xml:space="preserve">enta </w:t>
      </w:r>
      <w:r w:rsidR="00770B66">
        <w:rPr>
          <w:rFonts w:ascii="Verdana" w:hAnsi="Verdana"/>
          <w:sz w:val="20"/>
          <w:szCs w:val="20"/>
        </w:rPr>
        <w:t>v</w:t>
      </w:r>
      <w:r w:rsidRPr="00964B84">
        <w:rPr>
          <w:rFonts w:ascii="Verdana" w:hAnsi="Verdana"/>
          <w:sz w:val="20"/>
          <w:szCs w:val="20"/>
        </w:rPr>
        <w:t>ariable, los FIC abiertos sin pacto de permanencia que registran una exposición significativa a la renta variable y corresponden a aquellos que en sus reglamentos establecen una inversión mínima de 70% del valor del portafolio en instrumentos de renta variable.</w:t>
      </w:r>
    </w:p>
    <w:p w14:paraId="50543A58" w14:textId="77777777" w:rsidR="002345B8" w:rsidRDefault="002345B8" w:rsidP="002345B8">
      <w:pPr>
        <w:pStyle w:val="Normal9pt"/>
        <w:numPr>
          <w:ilvl w:val="0"/>
          <w:numId w:val="0"/>
        </w:numPr>
        <w:rPr>
          <w:rFonts w:ascii="Verdana" w:hAnsi="Verdana"/>
          <w:sz w:val="20"/>
          <w:szCs w:val="20"/>
        </w:rPr>
      </w:pPr>
    </w:p>
    <w:p w14:paraId="725419A0" w14:textId="2BBB917B" w:rsidR="00D65BA0" w:rsidRPr="00770B66" w:rsidRDefault="00D65BA0" w:rsidP="00770B66">
      <w:pPr>
        <w:pStyle w:val="Prrafodelista"/>
        <w:numPr>
          <w:ilvl w:val="0"/>
          <w:numId w:val="10"/>
        </w:numPr>
        <w:ind w:left="284" w:hanging="284"/>
        <w:jc w:val="both"/>
        <w:rPr>
          <w:rFonts w:ascii="Verdana" w:hAnsi="Verdana"/>
          <w:i/>
          <w:sz w:val="20"/>
          <w:szCs w:val="20"/>
        </w:rPr>
      </w:pPr>
      <w:r w:rsidRPr="00770B66">
        <w:rPr>
          <w:rFonts w:ascii="Verdana" w:hAnsi="Verdana"/>
          <w:b/>
          <w:bCs/>
          <w:sz w:val="20"/>
          <w:szCs w:val="20"/>
        </w:rPr>
        <w:t xml:space="preserve">FIC de </w:t>
      </w:r>
      <w:r w:rsidR="00770B66" w:rsidRPr="00770B66">
        <w:rPr>
          <w:rFonts w:ascii="Verdana" w:hAnsi="Verdana"/>
          <w:b/>
          <w:bCs/>
          <w:sz w:val="20"/>
          <w:szCs w:val="20"/>
        </w:rPr>
        <w:t>r</w:t>
      </w:r>
      <w:r w:rsidRPr="00770B66">
        <w:rPr>
          <w:rFonts w:ascii="Verdana" w:hAnsi="Verdana"/>
          <w:b/>
          <w:bCs/>
          <w:sz w:val="20"/>
          <w:szCs w:val="20"/>
        </w:rPr>
        <w:t xml:space="preserve">enta </w:t>
      </w:r>
      <w:r w:rsidR="00770B66" w:rsidRPr="00770B66">
        <w:rPr>
          <w:rFonts w:ascii="Verdana" w:hAnsi="Verdana"/>
          <w:b/>
          <w:bCs/>
          <w:sz w:val="20"/>
          <w:szCs w:val="20"/>
        </w:rPr>
        <w:t>f</w:t>
      </w:r>
      <w:r w:rsidRPr="00770B66">
        <w:rPr>
          <w:rFonts w:ascii="Verdana" w:hAnsi="Verdana"/>
          <w:b/>
          <w:bCs/>
          <w:sz w:val="20"/>
          <w:szCs w:val="20"/>
        </w:rPr>
        <w:t xml:space="preserve">ija y </w:t>
      </w:r>
      <w:r w:rsidR="00770B66" w:rsidRPr="00770B66">
        <w:rPr>
          <w:rFonts w:ascii="Verdana" w:hAnsi="Verdana"/>
          <w:b/>
          <w:bCs/>
          <w:sz w:val="20"/>
          <w:szCs w:val="20"/>
        </w:rPr>
        <w:t>b</w:t>
      </w:r>
      <w:r w:rsidRPr="00770B66">
        <w:rPr>
          <w:rFonts w:ascii="Verdana" w:hAnsi="Verdana"/>
          <w:b/>
          <w:bCs/>
          <w:sz w:val="20"/>
          <w:szCs w:val="20"/>
        </w:rPr>
        <w:t>alanceados</w:t>
      </w:r>
    </w:p>
    <w:p w14:paraId="7590B0BE" w14:textId="228470C9" w:rsidR="002345B8" w:rsidRPr="000E0B7B" w:rsidRDefault="002345B8" w:rsidP="002345B8">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Pr>
          <w:rFonts w:ascii="Verdana" w:hAnsi="Verdana"/>
          <w:sz w:val="20"/>
          <w:szCs w:val="20"/>
        </w:rPr>
        <w:t>9</w:t>
      </w:r>
      <w:r w:rsidRPr="000E0B7B">
        <w:rPr>
          <w:rFonts w:ascii="Verdana" w:hAnsi="Verdana"/>
          <w:sz w:val="20"/>
          <w:szCs w:val="20"/>
        </w:rPr>
        <w:t>.</w:t>
      </w:r>
    </w:p>
    <w:p w14:paraId="1F6816F9" w14:textId="063D1D89"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 xml:space="preserve">Se denominan FIC de </w:t>
      </w:r>
      <w:r w:rsidR="00770B66">
        <w:rPr>
          <w:rFonts w:ascii="Verdana" w:hAnsi="Verdana"/>
          <w:sz w:val="20"/>
          <w:szCs w:val="20"/>
        </w:rPr>
        <w:t>r</w:t>
      </w:r>
      <w:r w:rsidRPr="00964B84">
        <w:rPr>
          <w:rFonts w:ascii="Verdana" w:hAnsi="Verdana"/>
          <w:sz w:val="20"/>
          <w:szCs w:val="20"/>
        </w:rPr>
        <w:t xml:space="preserve">enta </w:t>
      </w:r>
      <w:r w:rsidR="00770B66">
        <w:rPr>
          <w:rFonts w:ascii="Verdana" w:hAnsi="Verdana"/>
          <w:sz w:val="20"/>
          <w:szCs w:val="20"/>
        </w:rPr>
        <w:t>f</w:t>
      </w:r>
      <w:r w:rsidRPr="00964B84">
        <w:rPr>
          <w:rFonts w:ascii="Verdana" w:hAnsi="Verdana"/>
          <w:sz w:val="20"/>
          <w:szCs w:val="20"/>
        </w:rPr>
        <w:t xml:space="preserve">ija </w:t>
      </w:r>
      <w:r w:rsidR="00770B66">
        <w:rPr>
          <w:rFonts w:ascii="Verdana" w:hAnsi="Verdana"/>
          <w:sz w:val="20"/>
          <w:szCs w:val="20"/>
        </w:rPr>
        <w:t>y/o</w:t>
      </w:r>
      <w:r w:rsidRPr="00964B84">
        <w:rPr>
          <w:rFonts w:ascii="Verdana" w:hAnsi="Verdana"/>
          <w:sz w:val="20"/>
          <w:szCs w:val="20"/>
        </w:rPr>
        <w:t xml:space="preserve"> </w:t>
      </w:r>
      <w:r w:rsidR="00770B66">
        <w:rPr>
          <w:rFonts w:ascii="Verdana" w:hAnsi="Verdana"/>
          <w:sz w:val="20"/>
          <w:szCs w:val="20"/>
        </w:rPr>
        <w:t>b</w:t>
      </w:r>
      <w:r w:rsidRPr="00964B84">
        <w:rPr>
          <w:rFonts w:ascii="Verdana" w:hAnsi="Verdana"/>
          <w:sz w:val="20"/>
          <w:szCs w:val="20"/>
        </w:rPr>
        <w:t>alanceados aquellos FIC abiertos sin pacto de permanencia que no presentan una exposición significativa a la renta variable y que no se denominan como monetarios.</w:t>
      </w:r>
    </w:p>
    <w:p w14:paraId="1B137FB6" w14:textId="77777777" w:rsidR="00E91980" w:rsidRDefault="00E91980" w:rsidP="00E91980">
      <w:pPr>
        <w:pStyle w:val="Normal9pt"/>
        <w:numPr>
          <w:ilvl w:val="0"/>
          <w:numId w:val="0"/>
        </w:numPr>
        <w:rPr>
          <w:rFonts w:ascii="Verdana" w:hAnsi="Verdana"/>
          <w:i/>
          <w:sz w:val="20"/>
          <w:szCs w:val="20"/>
        </w:rPr>
      </w:pPr>
    </w:p>
    <w:p w14:paraId="101986D1" w14:textId="184ADC36" w:rsidR="00D65BA0" w:rsidRPr="00964B84" w:rsidRDefault="00D65BA0" w:rsidP="00FF65AC">
      <w:pPr>
        <w:jc w:val="both"/>
        <w:rPr>
          <w:rFonts w:ascii="Verdana" w:hAnsi="Verdana"/>
          <w:b/>
          <w:i/>
          <w:sz w:val="20"/>
          <w:szCs w:val="20"/>
        </w:rPr>
      </w:pPr>
      <w:r w:rsidRPr="00FF2D18">
        <w:rPr>
          <w:rFonts w:ascii="Verdana" w:hAnsi="Verdana"/>
          <w:b/>
          <w:bCs/>
          <w:sz w:val="20"/>
          <w:szCs w:val="20"/>
        </w:rPr>
        <w:t xml:space="preserve">Medición de </w:t>
      </w:r>
      <w:r w:rsidR="00770B66">
        <w:rPr>
          <w:rFonts w:ascii="Verdana" w:hAnsi="Verdana"/>
          <w:b/>
          <w:bCs/>
          <w:sz w:val="20"/>
          <w:szCs w:val="20"/>
        </w:rPr>
        <w:t>a</w:t>
      </w:r>
      <w:r w:rsidRPr="00FF2D18">
        <w:rPr>
          <w:rFonts w:ascii="Verdana" w:hAnsi="Verdana"/>
          <w:b/>
          <w:bCs/>
          <w:sz w:val="20"/>
          <w:szCs w:val="20"/>
        </w:rPr>
        <w:t xml:space="preserve">ctivos </w:t>
      </w:r>
      <w:r w:rsidR="00770B66">
        <w:rPr>
          <w:rFonts w:ascii="Verdana" w:hAnsi="Verdana"/>
          <w:b/>
          <w:bCs/>
          <w:sz w:val="20"/>
          <w:szCs w:val="20"/>
        </w:rPr>
        <w:t>l</w:t>
      </w:r>
      <w:r w:rsidRPr="00FF2D18">
        <w:rPr>
          <w:rFonts w:ascii="Verdana" w:hAnsi="Verdana"/>
          <w:b/>
          <w:bCs/>
          <w:sz w:val="20"/>
          <w:szCs w:val="20"/>
        </w:rPr>
        <w:t>íquidos</w:t>
      </w:r>
    </w:p>
    <w:p w14:paraId="72DE49AB" w14:textId="6205B094" w:rsidR="00E91980" w:rsidRPr="000E0B7B" w:rsidRDefault="00E91980" w:rsidP="00E91980">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Pr>
          <w:rFonts w:ascii="Verdana" w:hAnsi="Verdana"/>
          <w:sz w:val="20"/>
          <w:szCs w:val="20"/>
        </w:rPr>
        <w:t>1</w:t>
      </w:r>
      <w:r w:rsidR="006C0E44">
        <w:rPr>
          <w:rFonts w:ascii="Verdana" w:hAnsi="Verdana"/>
          <w:sz w:val="20"/>
          <w:szCs w:val="20"/>
        </w:rPr>
        <w:t>0</w:t>
      </w:r>
      <w:r w:rsidRPr="000E0B7B">
        <w:rPr>
          <w:rFonts w:ascii="Verdana" w:hAnsi="Verdana"/>
          <w:sz w:val="20"/>
          <w:szCs w:val="20"/>
        </w:rPr>
        <w:t>.</w:t>
      </w:r>
    </w:p>
    <w:p w14:paraId="3E55BE1E" w14:textId="56171CF7"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A continuación, se definen para efectos de la medición del riesgo de liquidez las diferentes categorías de activos de acuerdo con su liquidez.</w:t>
      </w:r>
    </w:p>
    <w:p w14:paraId="7A6B5598" w14:textId="77777777" w:rsidR="00D65BA0" w:rsidRPr="00964B84" w:rsidRDefault="00D65BA0" w:rsidP="00D65BA0">
      <w:pPr>
        <w:pStyle w:val="Normal9pt"/>
        <w:numPr>
          <w:ilvl w:val="0"/>
          <w:numId w:val="0"/>
        </w:numPr>
        <w:rPr>
          <w:rFonts w:ascii="Verdana" w:hAnsi="Verdana"/>
          <w:i/>
          <w:sz w:val="20"/>
          <w:szCs w:val="20"/>
        </w:rPr>
      </w:pPr>
    </w:p>
    <w:p w14:paraId="7BB2848E" w14:textId="19CAF2A6" w:rsidR="00D65BA0" w:rsidRPr="00770B66" w:rsidRDefault="00D65BA0" w:rsidP="00770B66">
      <w:pPr>
        <w:pStyle w:val="Prrafodelista"/>
        <w:numPr>
          <w:ilvl w:val="0"/>
          <w:numId w:val="10"/>
        </w:numPr>
        <w:ind w:left="284" w:hanging="284"/>
        <w:jc w:val="both"/>
        <w:rPr>
          <w:rFonts w:ascii="Verdana" w:hAnsi="Verdana"/>
          <w:sz w:val="20"/>
          <w:szCs w:val="20"/>
        </w:rPr>
      </w:pPr>
      <w:r w:rsidRPr="00770B66">
        <w:rPr>
          <w:rFonts w:ascii="Verdana" w:hAnsi="Verdana"/>
          <w:b/>
          <w:bCs/>
          <w:sz w:val="20"/>
          <w:szCs w:val="20"/>
        </w:rPr>
        <w:t xml:space="preserve">Recursos </w:t>
      </w:r>
      <w:r w:rsidR="00770B66" w:rsidRPr="00770B66">
        <w:rPr>
          <w:rFonts w:ascii="Verdana" w:hAnsi="Verdana"/>
          <w:b/>
          <w:bCs/>
          <w:sz w:val="20"/>
          <w:szCs w:val="20"/>
        </w:rPr>
        <w:t>l</w:t>
      </w:r>
      <w:r w:rsidRPr="00770B66">
        <w:rPr>
          <w:rFonts w:ascii="Verdana" w:hAnsi="Verdana"/>
          <w:b/>
          <w:bCs/>
          <w:sz w:val="20"/>
          <w:szCs w:val="20"/>
        </w:rPr>
        <w:t>íquidos</w:t>
      </w:r>
    </w:p>
    <w:p w14:paraId="5F72B5CF" w14:textId="77B3F9D3" w:rsidR="006C0E44" w:rsidRPr="000E0B7B" w:rsidRDefault="006C0E44" w:rsidP="006C0E44">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Pr>
          <w:rFonts w:ascii="Verdana" w:hAnsi="Verdana"/>
          <w:sz w:val="20"/>
          <w:szCs w:val="20"/>
        </w:rPr>
        <w:t>11</w:t>
      </w:r>
      <w:r w:rsidRPr="000E0B7B">
        <w:rPr>
          <w:rFonts w:ascii="Verdana" w:hAnsi="Verdana"/>
          <w:sz w:val="20"/>
          <w:szCs w:val="20"/>
        </w:rPr>
        <w:t>.</w:t>
      </w:r>
    </w:p>
    <w:p w14:paraId="0A9425FA" w14:textId="24DE5502"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Son aquellos que proveen liquidez inmediata hasta el día hábil siguiente a la fecha de corte. Se consideran recursos líquidos el conjunto de activos comprendido por:</w:t>
      </w:r>
    </w:p>
    <w:p w14:paraId="7081AFD3" w14:textId="77777777" w:rsidR="00D65BA0" w:rsidRPr="00964B84" w:rsidRDefault="00D65BA0" w:rsidP="00D65BA0">
      <w:pPr>
        <w:pStyle w:val="Normal9pt"/>
        <w:numPr>
          <w:ilvl w:val="0"/>
          <w:numId w:val="0"/>
        </w:numPr>
        <w:rPr>
          <w:rFonts w:ascii="Verdana" w:hAnsi="Verdana"/>
          <w:i/>
          <w:sz w:val="20"/>
          <w:szCs w:val="20"/>
        </w:rPr>
      </w:pPr>
    </w:p>
    <w:p w14:paraId="3A4320D9" w14:textId="77777777" w:rsidR="00D65BA0" w:rsidRPr="00964B84" w:rsidRDefault="00D65BA0" w:rsidP="005F3CA8">
      <w:pPr>
        <w:pStyle w:val="Normal9pt"/>
        <w:numPr>
          <w:ilvl w:val="0"/>
          <w:numId w:val="6"/>
        </w:numPr>
        <w:ind w:left="567" w:hanging="567"/>
        <w:rPr>
          <w:rFonts w:ascii="Verdana" w:hAnsi="Verdana"/>
          <w:i/>
          <w:sz w:val="20"/>
          <w:szCs w:val="20"/>
        </w:rPr>
      </w:pPr>
      <w:r w:rsidRPr="00964B84">
        <w:rPr>
          <w:rFonts w:ascii="Verdana" w:hAnsi="Verdana"/>
          <w:sz w:val="20"/>
          <w:szCs w:val="20"/>
        </w:rPr>
        <w:t>El efectivo en caja y bancos (incluyendo depósitos en el Banco de la República).</w:t>
      </w:r>
    </w:p>
    <w:p w14:paraId="7375C93F" w14:textId="77777777" w:rsidR="0009691E" w:rsidRDefault="0009691E" w:rsidP="0009691E">
      <w:pPr>
        <w:pStyle w:val="Normal9pt"/>
        <w:numPr>
          <w:ilvl w:val="0"/>
          <w:numId w:val="0"/>
        </w:numPr>
        <w:ind w:left="567" w:hanging="567"/>
        <w:rPr>
          <w:rFonts w:ascii="Verdana" w:hAnsi="Verdana"/>
          <w:sz w:val="20"/>
          <w:szCs w:val="20"/>
        </w:rPr>
      </w:pPr>
    </w:p>
    <w:p w14:paraId="615A7BA4" w14:textId="79D820F8" w:rsidR="00D65BA0" w:rsidRPr="00964B84" w:rsidRDefault="00D65BA0" w:rsidP="005F3CA8">
      <w:pPr>
        <w:pStyle w:val="Normal9pt"/>
        <w:numPr>
          <w:ilvl w:val="0"/>
          <w:numId w:val="6"/>
        </w:numPr>
        <w:ind w:left="567" w:hanging="567"/>
        <w:rPr>
          <w:rFonts w:ascii="Verdana" w:hAnsi="Verdana"/>
          <w:i/>
          <w:sz w:val="20"/>
          <w:szCs w:val="20"/>
        </w:rPr>
      </w:pPr>
      <w:r w:rsidRPr="00964B84">
        <w:rPr>
          <w:rFonts w:ascii="Verdana" w:hAnsi="Verdana"/>
          <w:sz w:val="20"/>
          <w:szCs w:val="20"/>
        </w:rPr>
        <w:t>Los Flujos Netos Contractuales a un día hábil: Los flujos contractuales que serán liquidados el día hábil siguiente a la fecha de corte, comprendidos entre otros por los vencimientos de títulos de renta fija, pagos de cupones, pagos programados de dividendos en efectivo, flujos contractuales resultantes de la liquidación de operaciones en instrumentos financieros derivados, vencimiento de operaciones del mercado monetario y cumplimiento de ventas o compras futuras.</w:t>
      </w:r>
    </w:p>
    <w:p w14:paraId="1DA00F1A" w14:textId="77777777" w:rsidR="00DE5762" w:rsidRDefault="00DE5762" w:rsidP="00DE5762">
      <w:pPr>
        <w:pStyle w:val="Normal9pt"/>
        <w:numPr>
          <w:ilvl w:val="0"/>
          <w:numId w:val="0"/>
        </w:numPr>
        <w:rPr>
          <w:rFonts w:ascii="Verdana" w:hAnsi="Verdana"/>
          <w:i/>
          <w:sz w:val="20"/>
          <w:szCs w:val="20"/>
        </w:rPr>
      </w:pPr>
    </w:p>
    <w:p w14:paraId="715A9CFC" w14:textId="7A08E3F6" w:rsidR="00D65BA0" w:rsidRPr="00F43F00" w:rsidRDefault="00D65BA0" w:rsidP="00F43F00">
      <w:pPr>
        <w:pStyle w:val="Prrafodelista"/>
        <w:numPr>
          <w:ilvl w:val="0"/>
          <w:numId w:val="10"/>
        </w:numPr>
        <w:ind w:left="284" w:hanging="284"/>
        <w:jc w:val="both"/>
        <w:rPr>
          <w:rFonts w:ascii="Verdana" w:hAnsi="Verdana"/>
          <w:i/>
          <w:sz w:val="20"/>
          <w:szCs w:val="20"/>
        </w:rPr>
      </w:pPr>
      <w:r w:rsidRPr="00F43F00">
        <w:rPr>
          <w:rFonts w:ascii="Verdana" w:hAnsi="Verdana"/>
          <w:b/>
          <w:bCs/>
          <w:sz w:val="20"/>
          <w:szCs w:val="20"/>
        </w:rPr>
        <w:t xml:space="preserve">Activos </w:t>
      </w:r>
      <w:r w:rsidR="00F43F00">
        <w:rPr>
          <w:rFonts w:ascii="Verdana" w:hAnsi="Verdana"/>
          <w:b/>
          <w:bCs/>
          <w:sz w:val="20"/>
          <w:szCs w:val="20"/>
        </w:rPr>
        <w:t>l</w:t>
      </w:r>
      <w:r w:rsidRPr="00F43F00">
        <w:rPr>
          <w:rFonts w:ascii="Verdana" w:hAnsi="Verdana"/>
          <w:b/>
          <w:bCs/>
          <w:sz w:val="20"/>
          <w:szCs w:val="20"/>
        </w:rPr>
        <w:t xml:space="preserve">íquidos de </w:t>
      </w:r>
      <w:r w:rsidR="00F43F00">
        <w:rPr>
          <w:rFonts w:ascii="Verdana" w:hAnsi="Verdana"/>
          <w:b/>
          <w:bCs/>
          <w:sz w:val="20"/>
          <w:szCs w:val="20"/>
        </w:rPr>
        <w:t>a</w:t>
      </w:r>
      <w:r w:rsidRPr="00F43F00">
        <w:rPr>
          <w:rFonts w:ascii="Verdana" w:hAnsi="Verdana"/>
          <w:b/>
          <w:bCs/>
          <w:sz w:val="20"/>
          <w:szCs w:val="20"/>
        </w:rPr>
        <w:t xml:space="preserve">lta </w:t>
      </w:r>
      <w:r w:rsidR="00F43F00">
        <w:rPr>
          <w:rFonts w:ascii="Verdana" w:hAnsi="Verdana"/>
          <w:b/>
          <w:bCs/>
          <w:sz w:val="20"/>
          <w:szCs w:val="20"/>
        </w:rPr>
        <w:t>c</w:t>
      </w:r>
      <w:r w:rsidRPr="00F43F00">
        <w:rPr>
          <w:rFonts w:ascii="Verdana" w:hAnsi="Verdana"/>
          <w:b/>
          <w:bCs/>
          <w:sz w:val="20"/>
          <w:szCs w:val="20"/>
        </w:rPr>
        <w:t>alidad (ALAC)</w:t>
      </w:r>
    </w:p>
    <w:p w14:paraId="311537CC" w14:textId="02CFEF0F" w:rsidR="00DE5762" w:rsidRPr="000E0B7B" w:rsidRDefault="00DE5762" w:rsidP="00DE576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Pr>
          <w:rFonts w:ascii="Verdana" w:hAnsi="Verdana"/>
          <w:sz w:val="20"/>
          <w:szCs w:val="20"/>
        </w:rPr>
        <w:t>12</w:t>
      </w:r>
      <w:r w:rsidRPr="000E0B7B">
        <w:rPr>
          <w:rFonts w:ascii="Verdana" w:hAnsi="Verdana"/>
          <w:sz w:val="20"/>
          <w:szCs w:val="20"/>
        </w:rPr>
        <w:t>.</w:t>
      </w:r>
    </w:p>
    <w:p w14:paraId="4D4E3303" w14:textId="38CB3342" w:rsidR="00A36383" w:rsidRDefault="00D65BA0" w:rsidP="00CA27F2">
      <w:pPr>
        <w:pStyle w:val="Normal9pt"/>
        <w:numPr>
          <w:ilvl w:val="0"/>
          <w:numId w:val="0"/>
        </w:numPr>
        <w:rPr>
          <w:rFonts w:ascii="Verdana" w:hAnsi="Verdana"/>
          <w:sz w:val="20"/>
          <w:szCs w:val="20"/>
        </w:rPr>
      </w:pPr>
      <w:r w:rsidRPr="00964B84">
        <w:rPr>
          <w:rFonts w:ascii="Verdana" w:hAnsi="Verdana"/>
          <w:sz w:val="20"/>
          <w:szCs w:val="20"/>
        </w:rPr>
        <w:t>Son aquellos de fácil realización comprendidos por:</w:t>
      </w:r>
    </w:p>
    <w:p w14:paraId="79A96EE0" w14:textId="77777777" w:rsidR="00CA27F2" w:rsidRDefault="00CA27F2" w:rsidP="00CA27F2">
      <w:pPr>
        <w:pStyle w:val="Normal9pt"/>
        <w:numPr>
          <w:ilvl w:val="0"/>
          <w:numId w:val="0"/>
        </w:numPr>
        <w:rPr>
          <w:rFonts w:ascii="Verdana" w:hAnsi="Verdana"/>
          <w:sz w:val="20"/>
          <w:szCs w:val="20"/>
        </w:rPr>
      </w:pPr>
    </w:p>
    <w:p w14:paraId="6F177E0D" w14:textId="6C244CC5" w:rsidR="00CA27F2" w:rsidRDefault="00D65BA0" w:rsidP="00CA27F2">
      <w:pPr>
        <w:pStyle w:val="Normal9pt"/>
        <w:numPr>
          <w:ilvl w:val="0"/>
          <w:numId w:val="11"/>
        </w:numPr>
        <w:ind w:left="567" w:hanging="567"/>
        <w:rPr>
          <w:rFonts w:ascii="Verdana" w:hAnsi="Verdana"/>
          <w:i/>
          <w:sz w:val="20"/>
          <w:szCs w:val="20"/>
        </w:rPr>
      </w:pPr>
      <w:r w:rsidRPr="00CA27F2">
        <w:rPr>
          <w:rFonts w:ascii="Verdana" w:hAnsi="Verdana"/>
          <w:sz w:val="20"/>
          <w:szCs w:val="20"/>
        </w:rPr>
        <w:t>Los recursos líquidos definidos e</w:t>
      </w:r>
      <w:r w:rsidRPr="00503F86">
        <w:rPr>
          <w:rFonts w:ascii="Verdana" w:hAnsi="Verdana"/>
          <w:sz w:val="20"/>
          <w:szCs w:val="20"/>
        </w:rPr>
        <w:t>n el</w:t>
      </w:r>
      <w:r w:rsidR="00F966FF" w:rsidRPr="00503F86">
        <w:rPr>
          <w:rFonts w:ascii="Verdana" w:hAnsi="Verdana"/>
          <w:sz w:val="20"/>
          <w:szCs w:val="20"/>
        </w:rPr>
        <w:t xml:space="preserve"> párrafo 1.1.A11.11</w:t>
      </w:r>
      <w:r w:rsidR="00503F86">
        <w:rPr>
          <w:rFonts w:ascii="Verdana" w:hAnsi="Verdana"/>
          <w:sz w:val="20"/>
          <w:szCs w:val="20"/>
        </w:rPr>
        <w:t>.</w:t>
      </w:r>
    </w:p>
    <w:p w14:paraId="61924C53" w14:textId="77777777" w:rsidR="00CA27F2" w:rsidRPr="00CA27F2" w:rsidRDefault="00CA27F2" w:rsidP="00CA27F2">
      <w:pPr>
        <w:pStyle w:val="Normal9pt"/>
        <w:numPr>
          <w:ilvl w:val="0"/>
          <w:numId w:val="0"/>
        </w:numPr>
        <w:ind w:left="567"/>
        <w:rPr>
          <w:rFonts w:ascii="Verdana" w:hAnsi="Verdana"/>
          <w:i/>
          <w:sz w:val="20"/>
          <w:szCs w:val="20"/>
        </w:rPr>
      </w:pPr>
    </w:p>
    <w:p w14:paraId="2E901656" w14:textId="2A217BAC" w:rsidR="00CA27F2" w:rsidRDefault="00D65BA0" w:rsidP="00CA27F2">
      <w:pPr>
        <w:pStyle w:val="Normal9pt"/>
        <w:numPr>
          <w:ilvl w:val="0"/>
          <w:numId w:val="11"/>
        </w:numPr>
        <w:ind w:left="567" w:hanging="567"/>
        <w:rPr>
          <w:rFonts w:ascii="Verdana" w:hAnsi="Verdana"/>
          <w:i/>
          <w:sz w:val="20"/>
          <w:szCs w:val="20"/>
        </w:rPr>
      </w:pPr>
      <w:r w:rsidRPr="00CA27F2">
        <w:rPr>
          <w:rFonts w:ascii="Verdana" w:hAnsi="Verdana"/>
          <w:sz w:val="20"/>
          <w:szCs w:val="20"/>
        </w:rPr>
        <w:t xml:space="preserve">Los títulos que reciba el Banco de la República para sus operaciones de expansión y contracción descontados por el </w:t>
      </w:r>
      <w:r w:rsidRPr="00CA27F2">
        <w:rPr>
          <w:rFonts w:ascii="Verdana" w:hAnsi="Verdana"/>
          <w:i/>
          <w:sz w:val="20"/>
          <w:szCs w:val="20"/>
        </w:rPr>
        <w:t>haircut</w:t>
      </w:r>
      <w:r w:rsidRPr="00CA27F2">
        <w:rPr>
          <w:rFonts w:ascii="Verdana" w:hAnsi="Verdana"/>
          <w:sz w:val="20"/>
          <w:szCs w:val="20"/>
        </w:rPr>
        <w:t xml:space="preserve"> correspondiente, si la entidad administradora es un agente colocador de OMAS (ACO); en caso contrario, los títulos de cotización obligatoria en el programa de creadores de mercado.</w:t>
      </w:r>
    </w:p>
    <w:p w14:paraId="0931906B" w14:textId="77777777" w:rsidR="00CA27F2" w:rsidRPr="00CA27F2" w:rsidRDefault="00CA27F2" w:rsidP="00CA27F2">
      <w:pPr>
        <w:pStyle w:val="Normal9pt"/>
        <w:numPr>
          <w:ilvl w:val="0"/>
          <w:numId w:val="0"/>
        </w:numPr>
        <w:ind w:left="567"/>
        <w:rPr>
          <w:rFonts w:ascii="Verdana" w:hAnsi="Verdana"/>
          <w:i/>
          <w:sz w:val="20"/>
          <w:szCs w:val="20"/>
        </w:rPr>
      </w:pPr>
    </w:p>
    <w:p w14:paraId="364EBB32" w14:textId="4486F9FF" w:rsidR="00CA27F2" w:rsidRDefault="00D65BA0" w:rsidP="00CA27F2">
      <w:pPr>
        <w:pStyle w:val="Normal9pt"/>
        <w:numPr>
          <w:ilvl w:val="0"/>
          <w:numId w:val="11"/>
        </w:numPr>
        <w:ind w:left="567" w:hanging="567"/>
        <w:rPr>
          <w:rFonts w:ascii="Verdana" w:hAnsi="Verdana"/>
          <w:i/>
          <w:sz w:val="20"/>
          <w:szCs w:val="20"/>
        </w:rPr>
      </w:pPr>
      <w:r w:rsidRPr="00CA27F2">
        <w:rPr>
          <w:rFonts w:ascii="Verdana" w:hAnsi="Verdana"/>
          <w:sz w:val="20"/>
          <w:szCs w:val="20"/>
        </w:rPr>
        <w:t xml:space="preserve">Las acciones que sean elegibles como garantía para operaciones repo o reporto descontadas por el </w:t>
      </w:r>
      <w:r w:rsidRPr="00CA27F2">
        <w:rPr>
          <w:rFonts w:ascii="Verdana" w:hAnsi="Verdana"/>
          <w:i/>
          <w:sz w:val="20"/>
          <w:szCs w:val="20"/>
        </w:rPr>
        <w:t>haircut</w:t>
      </w:r>
      <w:r w:rsidRPr="00CA27F2">
        <w:rPr>
          <w:rFonts w:ascii="Verdana" w:hAnsi="Verdana"/>
          <w:sz w:val="20"/>
          <w:szCs w:val="20"/>
        </w:rPr>
        <w:t xml:space="preserve"> correspondiente.</w:t>
      </w:r>
    </w:p>
    <w:p w14:paraId="796FCFB2" w14:textId="77777777" w:rsidR="00CA27F2" w:rsidRPr="00CA27F2" w:rsidRDefault="00CA27F2" w:rsidP="00CA27F2">
      <w:pPr>
        <w:pStyle w:val="Normal9pt"/>
        <w:numPr>
          <w:ilvl w:val="0"/>
          <w:numId w:val="0"/>
        </w:numPr>
        <w:ind w:left="567"/>
        <w:rPr>
          <w:rFonts w:ascii="Verdana" w:hAnsi="Verdana"/>
          <w:i/>
          <w:sz w:val="20"/>
          <w:szCs w:val="20"/>
        </w:rPr>
      </w:pPr>
    </w:p>
    <w:p w14:paraId="08637029" w14:textId="1E45CC8D" w:rsidR="00CA27F2" w:rsidRDefault="00D65BA0" w:rsidP="003C726D">
      <w:pPr>
        <w:pStyle w:val="Normal9pt"/>
        <w:numPr>
          <w:ilvl w:val="0"/>
          <w:numId w:val="11"/>
        </w:numPr>
        <w:tabs>
          <w:tab w:val="left" w:pos="6946"/>
        </w:tabs>
        <w:ind w:left="567" w:hanging="567"/>
        <w:rPr>
          <w:rFonts w:ascii="Verdana" w:hAnsi="Verdana"/>
          <w:i/>
          <w:sz w:val="20"/>
          <w:szCs w:val="20"/>
        </w:rPr>
      </w:pPr>
      <w:r w:rsidRPr="00CA27F2">
        <w:rPr>
          <w:rFonts w:ascii="Verdana" w:hAnsi="Verdana"/>
          <w:sz w:val="20"/>
          <w:szCs w:val="20"/>
        </w:rPr>
        <w:t xml:space="preserve">Inversiones en títulos de deuda soberana que cuenten con calificación </w:t>
      </w:r>
      <w:r w:rsidR="002A210F">
        <w:rPr>
          <w:rFonts w:ascii="Verdana" w:hAnsi="Verdana"/>
          <w:sz w:val="20"/>
          <w:szCs w:val="20"/>
        </w:rPr>
        <w:t xml:space="preserve">de </w:t>
      </w:r>
      <w:r w:rsidRPr="00CA27F2">
        <w:rPr>
          <w:rFonts w:ascii="Verdana" w:hAnsi="Verdana"/>
          <w:sz w:val="20"/>
          <w:szCs w:val="20"/>
        </w:rPr>
        <w:t xml:space="preserve">grado inversión igual o superior a “A” establecida por una calificadora de riesgos reconocida internacionalmente, descontados por el </w:t>
      </w:r>
      <w:r w:rsidRPr="00CA27F2">
        <w:rPr>
          <w:rFonts w:ascii="Verdana" w:hAnsi="Verdana"/>
          <w:i/>
          <w:sz w:val="20"/>
          <w:szCs w:val="20"/>
        </w:rPr>
        <w:t xml:space="preserve">haircut </w:t>
      </w:r>
      <w:r w:rsidRPr="00CA27F2">
        <w:rPr>
          <w:rFonts w:ascii="Verdana" w:hAnsi="Verdana"/>
          <w:sz w:val="20"/>
          <w:szCs w:val="20"/>
        </w:rPr>
        <w:t>correspondiente.</w:t>
      </w:r>
    </w:p>
    <w:p w14:paraId="32713153" w14:textId="77777777" w:rsidR="00CA27F2" w:rsidRPr="00CA27F2" w:rsidRDefault="00CA27F2" w:rsidP="00CA27F2">
      <w:pPr>
        <w:pStyle w:val="Normal9pt"/>
        <w:numPr>
          <w:ilvl w:val="0"/>
          <w:numId w:val="0"/>
        </w:numPr>
        <w:ind w:left="567"/>
        <w:rPr>
          <w:rFonts w:ascii="Verdana" w:hAnsi="Verdana"/>
          <w:i/>
          <w:sz w:val="20"/>
          <w:szCs w:val="20"/>
        </w:rPr>
      </w:pPr>
    </w:p>
    <w:p w14:paraId="72F2C522" w14:textId="49B4715F" w:rsidR="00CA27F2" w:rsidRDefault="00D65BA0" w:rsidP="00CA27F2">
      <w:pPr>
        <w:pStyle w:val="Normal9pt"/>
        <w:numPr>
          <w:ilvl w:val="0"/>
          <w:numId w:val="11"/>
        </w:numPr>
        <w:ind w:left="567" w:hanging="567"/>
        <w:rPr>
          <w:rFonts w:ascii="Verdana" w:hAnsi="Verdana"/>
          <w:i/>
          <w:sz w:val="20"/>
          <w:szCs w:val="20"/>
        </w:rPr>
      </w:pPr>
      <w:r w:rsidRPr="00CA27F2">
        <w:rPr>
          <w:rFonts w:ascii="Verdana" w:hAnsi="Verdana"/>
          <w:sz w:val="20"/>
          <w:szCs w:val="20"/>
        </w:rPr>
        <w:t>El valor de las participaciones en FIC monetarios</w:t>
      </w:r>
      <w:r w:rsidR="009C088E">
        <w:rPr>
          <w:rFonts w:ascii="Verdana" w:hAnsi="Verdana"/>
          <w:sz w:val="20"/>
          <w:szCs w:val="20"/>
        </w:rPr>
        <w:t>, a los que se refieren los párrafos 1.1.A</w:t>
      </w:r>
      <w:r w:rsidR="00B27850">
        <w:rPr>
          <w:rFonts w:ascii="Verdana" w:hAnsi="Verdana"/>
          <w:sz w:val="20"/>
          <w:szCs w:val="20"/>
        </w:rPr>
        <w:t>11.6 y 1.1.A11.7 del presente anexo,</w:t>
      </w:r>
      <w:r w:rsidRPr="00CA27F2">
        <w:rPr>
          <w:rFonts w:ascii="Verdana" w:hAnsi="Verdana"/>
          <w:sz w:val="20"/>
          <w:szCs w:val="20"/>
        </w:rPr>
        <w:t xml:space="preserve"> descontado por el </w:t>
      </w:r>
      <w:r w:rsidRPr="00CA27F2">
        <w:rPr>
          <w:rFonts w:ascii="Verdana" w:hAnsi="Verdana"/>
          <w:i/>
          <w:iCs/>
          <w:sz w:val="20"/>
          <w:szCs w:val="20"/>
        </w:rPr>
        <w:t>haircut</w:t>
      </w:r>
      <w:r w:rsidRPr="00CA27F2">
        <w:rPr>
          <w:rFonts w:ascii="Verdana" w:hAnsi="Verdana"/>
          <w:sz w:val="20"/>
          <w:szCs w:val="20"/>
        </w:rPr>
        <w:t xml:space="preserve"> correspondiente.</w:t>
      </w:r>
    </w:p>
    <w:p w14:paraId="6CE09B7D" w14:textId="77777777" w:rsidR="00CA27F2" w:rsidRPr="00CA27F2" w:rsidRDefault="00CA27F2" w:rsidP="00CA27F2">
      <w:pPr>
        <w:pStyle w:val="Normal9pt"/>
        <w:numPr>
          <w:ilvl w:val="0"/>
          <w:numId w:val="0"/>
        </w:numPr>
        <w:ind w:left="567"/>
        <w:rPr>
          <w:rFonts w:ascii="Verdana" w:hAnsi="Verdana"/>
          <w:i/>
          <w:sz w:val="20"/>
          <w:szCs w:val="20"/>
        </w:rPr>
      </w:pPr>
    </w:p>
    <w:p w14:paraId="03F6B244" w14:textId="3B7E0708" w:rsidR="00CA27F2" w:rsidRDefault="00D65BA0" w:rsidP="00CA27F2">
      <w:pPr>
        <w:pStyle w:val="Normal9pt"/>
        <w:numPr>
          <w:ilvl w:val="0"/>
          <w:numId w:val="11"/>
        </w:numPr>
        <w:ind w:left="567" w:hanging="567"/>
        <w:rPr>
          <w:rFonts w:ascii="Verdana" w:hAnsi="Verdana"/>
          <w:i/>
          <w:sz w:val="20"/>
          <w:szCs w:val="20"/>
        </w:rPr>
      </w:pPr>
      <w:r w:rsidRPr="00CA27F2">
        <w:rPr>
          <w:rFonts w:ascii="Verdana" w:hAnsi="Verdana"/>
          <w:sz w:val="20"/>
          <w:szCs w:val="20"/>
        </w:rPr>
        <w:t xml:space="preserve">El valor de las </w:t>
      </w:r>
      <w:r w:rsidRPr="00D50137">
        <w:rPr>
          <w:rFonts w:ascii="Verdana" w:hAnsi="Verdana"/>
          <w:sz w:val="20"/>
          <w:szCs w:val="20"/>
        </w:rPr>
        <w:t>participaciones en fondos del exterior que cumplan con los requisitos establecidos en los subnumerales 2.2.7 del Capítulo II del Título VI de la Parte III de la CBJ.</w:t>
      </w:r>
    </w:p>
    <w:p w14:paraId="1E756360" w14:textId="77777777" w:rsidR="00CA27F2" w:rsidRPr="00CA27F2" w:rsidRDefault="00CA27F2" w:rsidP="00CA27F2">
      <w:pPr>
        <w:pStyle w:val="Normal9pt"/>
        <w:numPr>
          <w:ilvl w:val="0"/>
          <w:numId w:val="0"/>
        </w:numPr>
        <w:ind w:left="567"/>
        <w:rPr>
          <w:rFonts w:ascii="Verdana" w:hAnsi="Verdana"/>
          <w:i/>
          <w:sz w:val="20"/>
          <w:szCs w:val="20"/>
        </w:rPr>
      </w:pPr>
    </w:p>
    <w:p w14:paraId="4598FC37" w14:textId="7FBA0597" w:rsidR="00D65BA0" w:rsidRPr="00CA27F2" w:rsidRDefault="00D65BA0" w:rsidP="00CA27F2">
      <w:pPr>
        <w:pStyle w:val="Normal9pt"/>
        <w:numPr>
          <w:ilvl w:val="0"/>
          <w:numId w:val="11"/>
        </w:numPr>
        <w:ind w:left="567" w:hanging="567"/>
        <w:rPr>
          <w:rFonts w:ascii="Verdana" w:hAnsi="Verdana"/>
          <w:i/>
          <w:sz w:val="20"/>
          <w:szCs w:val="20"/>
        </w:rPr>
      </w:pPr>
      <w:r w:rsidRPr="00CA27F2">
        <w:rPr>
          <w:rFonts w:ascii="Verdana" w:hAnsi="Verdana"/>
          <w:sz w:val="20"/>
          <w:szCs w:val="20"/>
        </w:rPr>
        <w:lastRenderedPageBreak/>
        <w:t>También se tendrán en cuenta dentro del cálculo del total de ALAC, los ALAC sobre los que exista un compromiso de compra (o recompra) con cumplimiento al día hábil siguiente a la fecha de corte, y cuyo flujo de efectivo haya sido sustraído de los Recursos Líquidos. No se tendrán en cuenta los ALAC sobre los que exista un compromiso de venta con cumplimiento al día hábil siguiente a la fecha de corte, cuyo flujo de efectivo haya sido incluido en la medición de los Recursos Líquidos.</w:t>
      </w:r>
    </w:p>
    <w:p w14:paraId="2CCF30F2" w14:textId="77777777" w:rsidR="00FF65AC" w:rsidRDefault="00FF65AC" w:rsidP="00A14484">
      <w:pPr>
        <w:spacing w:after="0"/>
        <w:rPr>
          <w:rFonts w:ascii="Verdana" w:hAnsi="Verdana"/>
          <w:sz w:val="20"/>
          <w:szCs w:val="20"/>
        </w:rPr>
      </w:pPr>
    </w:p>
    <w:p w14:paraId="5419FE56" w14:textId="79D7959C" w:rsidR="00A14484" w:rsidRPr="000E0B7B" w:rsidRDefault="00A14484" w:rsidP="00A14484">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13</w:t>
      </w:r>
      <w:r w:rsidRPr="000E0B7B">
        <w:rPr>
          <w:rFonts w:ascii="Verdana" w:hAnsi="Verdana"/>
          <w:sz w:val="20"/>
          <w:szCs w:val="20"/>
        </w:rPr>
        <w:t>.</w:t>
      </w:r>
    </w:p>
    <w:p w14:paraId="2D52AD82" w14:textId="3F90F1BE"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En todo caso los flujos de efectivo que hacen parte de los recursos líquidos no podrán incluirse en el cálculo de los demás elementos que componen el conjunto de ALAC.</w:t>
      </w:r>
    </w:p>
    <w:p w14:paraId="57D7175C" w14:textId="77777777" w:rsidR="00D65BA0" w:rsidRPr="00964B84" w:rsidRDefault="00D65BA0" w:rsidP="00D65BA0">
      <w:pPr>
        <w:pStyle w:val="Normal9pt"/>
        <w:numPr>
          <w:ilvl w:val="0"/>
          <w:numId w:val="0"/>
        </w:numPr>
        <w:ind w:left="360" w:hanging="360"/>
        <w:rPr>
          <w:rFonts w:ascii="Verdana" w:hAnsi="Verdana"/>
          <w:i/>
          <w:sz w:val="20"/>
          <w:szCs w:val="20"/>
        </w:rPr>
      </w:pPr>
    </w:p>
    <w:p w14:paraId="5921F059" w14:textId="69E1E224" w:rsidR="00D65BA0" w:rsidRPr="00CA27F2" w:rsidRDefault="00D65BA0" w:rsidP="00CA27F2">
      <w:pPr>
        <w:pStyle w:val="Prrafodelista"/>
        <w:numPr>
          <w:ilvl w:val="0"/>
          <w:numId w:val="10"/>
        </w:numPr>
        <w:ind w:left="284" w:hanging="284"/>
        <w:jc w:val="both"/>
        <w:rPr>
          <w:rFonts w:ascii="Verdana" w:hAnsi="Verdana"/>
          <w:i/>
          <w:sz w:val="20"/>
          <w:szCs w:val="20"/>
        </w:rPr>
      </w:pPr>
      <w:r w:rsidRPr="00CA27F2">
        <w:rPr>
          <w:rFonts w:ascii="Verdana" w:hAnsi="Verdana"/>
          <w:b/>
          <w:bCs/>
          <w:sz w:val="20"/>
          <w:szCs w:val="20"/>
        </w:rPr>
        <w:t>Liquidez a 30 días</w:t>
      </w:r>
    </w:p>
    <w:p w14:paraId="30FE9C0D" w14:textId="66C70AE9" w:rsidR="00A823A6" w:rsidRPr="000E0B7B" w:rsidRDefault="00A823A6" w:rsidP="00A823A6">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14</w:t>
      </w:r>
      <w:r w:rsidRPr="000E0B7B">
        <w:rPr>
          <w:rFonts w:ascii="Verdana" w:hAnsi="Verdana"/>
          <w:sz w:val="20"/>
          <w:szCs w:val="20"/>
        </w:rPr>
        <w:t>.</w:t>
      </w:r>
    </w:p>
    <w:p w14:paraId="060E7CA6" w14:textId="3FC5471E" w:rsidR="00D65BA0" w:rsidRPr="00964B84" w:rsidRDefault="00D65BA0" w:rsidP="00D65BA0">
      <w:pPr>
        <w:pStyle w:val="Normal9pt"/>
        <w:numPr>
          <w:ilvl w:val="0"/>
          <w:numId w:val="0"/>
        </w:numPr>
        <w:rPr>
          <w:rFonts w:ascii="Verdana" w:hAnsi="Verdana"/>
          <w:sz w:val="20"/>
          <w:szCs w:val="20"/>
        </w:rPr>
      </w:pPr>
      <w:r w:rsidRPr="00964B84">
        <w:rPr>
          <w:rFonts w:ascii="Verdana" w:hAnsi="Verdana"/>
          <w:sz w:val="20"/>
          <w:szCs w:val="20"/>
        </w:rPr>
        <w:t xml:space="preserve">Está constituida por el conjunto de ALAC y los flujos netos contractuales a 30 días (que no hayan sido incluidos en la categoría de ALAC), que le permitirán a la entidad contar con liquidez en un periodo de 30 días calendario. El conjunto de activos que componen la liquidez a 30 días son: </w:t>
      </w:r>
    </w:p>
    <w:p w14:paraId="74D09882" w14:textId="77777777" w:rsidR="00D65BA0" w:rsidRPr="00964B84" w:rsidRDefault="00D65BA0" w:rsidP="00D65BA0">
      <w:pPr>
        <w:pStyle w:val="Normal9pt"/>
        <w:numPr>
          <w:ilvl w:val="0"/>
          <w:numId w:val="0"/>
        </w:numPr>
        <w:rPr>
          <w:rFonts w:ascii="Verdana" w:hAnsi="Verdana"/>
          <w:i/>
          <w:sz w:val="20"/>
          <w:szCs w:val="20"/>
        </w:rPr>
      </w:pPr>
    </w:p>
    <w:p w14:paraId="0177B9E0" w14:textId="70095B07" w:rsidR="00D65BA0" w:rsidRPr="00FF3489" w:rsidRDefault="00D65BA0" w:rsidP="005F3CA8">
      <w:pPr>
        <w:pStyle w:val="Normal9pt"/>
        <w:numPr>
          <w:ilvl w:val="0"/>
          <w:numId w:val="8"/>
        </w:numPr>
        <w:ind w:left="567" w:hanging="567"/>
        <w:rPr>
          <w:rFonts w:ascii="Verdana" w:hAnsi="Verdana"/>
          <w:i/>
          <w:sz w:val="20"/>
          <w:szCs w:val="20"/>
        </w:rPr>
      </w:pPr>
      <w:r w:rsidRPr="00FF3489">
        <w:rPr>
          <w:rFonts w:ascii="Verdana" w:hAnsi="Verdana"/>
          <w:sz w:val="20"/>
          <w:szCs w:val="20"/>
        </w:rPr>
        <w:t xml:space="preserve">Los activos líquidos de alta calidad definidos </w:t>
      </w:r>
      <w:r w:rsidR="007422A7" w:rsidRPr="00FF3489">
        <w:rPr>
          <w:rFonts w:ascii="Verdana" w:hAnsi="Verdana"/>
          <w:sz w:val="20"/>
          <w:szCs w:val="20"/>
        </w:rPr>
        <w:t>en los párrafos 1.1.A11.12. y 1.1.A11</w:t>
      </w:r>
      <w:r w:rsidR="00FF3489" w:rsidRPr="00FF3489">
        <w:rPr>
          <w:rFonts w:ascii="Verdana" w:hAnsi="Verdana"/>
          <w:sz w:val="20"/>
          <w:szCs w:val="20"/>
        </w:rPr>
        <w:t>.13.</w:t>
      </w:r>
    </w:p>
    <w:p w14:paraId="69228995" w14:textId="77777777" w:rsidR="00D65BA0" w:rsidRPr="00FF3489" w:rsidRDefault="00D65BA0" w:rsidP="0040743F">
      <w:pPr>
        <w:pStyle w:val="Normal9pt"/>
        <w:numPr>
          <w:ilvl w:val="0"/>
          <w:numId w:val="0"/>
        </w:numPr>
        <w:ind w:left="567" w:hanging="567"/>
        <w:rPr>
          <w:rFonts w:ascii="Verdana" w:hAnsi="Verdana"/>
          <w:i/>
          <w:sz w:val="20"/>
          <w:szCs w:val="20"/>
        </w:rPr>
      </w:pPr>
    </w:p>
    <w:p w14:paraId="7745138A" w14:textId="0E8AC16D" w:rsidR="00D65BA0" w:rsidRPr="00CA27F2" w:rsidRDefault="00D65BA0" w:rsidP="00CA27F2">
      <w:pPr>
        <w:pStyle w:val="Normal9pt"/>
        <w:numPr>
          <w:ilvl w:val="0"/>
          <w:numId w:val="8"/>
        </w:numPr>
        <w:ind w:left="567" w:hanging="567"/>
        <w:rPr>
          <w:rFonts w:ascii="Verdana" w:hAnsi="Verdana"/>
          <w:i/>
          <w:sz w:val="20"/>
          <w:szCs w:val="20"/>
        </w:rPr>
      </w:pPr>
      <w:r w:rsidRPr="00FF3489">
        <w:rPr>
          <w:rFonts w:ascii="Verdana" w:hAnsi="Verdana"/>
          <w:sz w:val="20"/>
          <w:szCs w:val="20"/>
        </w:rPr>
        <w:t>Los vencimientos de títulos de renta fija, pagos de cupones y pagos programados de dividendos</w:t>
      </w:r>
      <w:r w:rsidRPr="00964B84">
        <w:rPr>
          <w:rFonts w:ascii="Verdana" w:hAnsi="Verdana"/>
          <w:sz w:val="20"/>
          <w:szCs w:val="20"/>
        </w:rPr>
        <w:t xml:space="preserve"> en efectivo que serán liquidados entre el segundo día hábil a partir de la fecha de corte y el 30º día calendario a partir de la fecha de corte, que no hayan sido incluidos en los ALAC.</w:t>
      </w:r>
    </w:p>
    <w:p w14:paraId="1D15E773" w14:textId="77777777" w:rsidR="00CA27F2" w:rsidRPr="00CA27F2" w:rsidRDefault="00CA27F2" w:rsidP="00CA27F2">
      <w:pPr>
        <w:pStyle w:val="Normal9pt"/>
        <w:numPr>
          <w:ilvl w:val="0"/>
          <w:numId w:val="0"/>
        </w:numPr>
        <w:rPr>
          <w:rFonts w:ascii="Verdana" w:hAnsi="Verdana"/>
          <w:i/>
          <w:sz w:val="20"/>
          <w:szCs w:val="20"/>
        </w:rPr>
      </w:pPr>
    </w:p>
    <w:p w14:paraId="68386C62" w14:textId="799D4F69" w:rsidR="006A66A9" w:rsidRPr="000E0B7B" w:rsidRDefault="006A66A9" w:rsidP="006A66A9">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15</w:t>
      </w:r>
      <w:r w:rsidRPr="000E0B7B">
        <w:rPr>
          <w:rFonts w:ascii="Verdana" w:hAnsi="Verdana"/>
          <w:sz w:val="20"/>
          <w:szCs w:val="20"/>
        </w:rPr>
        <w:t>.</w:t>
      </w:r>
    </w:p>
    <w:p w14:paraId="44C67483" w14:textId="05AE5F20" w:rsidR="00D65BA0" w:rsidRPr="00964B84" w:rsidRDefault="00D65BA0" w:rsidP="00CA27F2">
      <w:pPr>
        <w:pStyle w:val="Prrafodelista"/>
        <w:ind w:left="0"/>
        <w:jc w:val="both"/>
        <w:rPr>
          <w:rFonts w:ascii="Verdana" w:hAnsi="Verdana" w:cs="Arial"/>
          <w:i/>
          <w:sz w:val="20"/>
          <w:szCs w:val="20"/>
          <w:lang w:val="es-MX"/>
        </w:rPr>
      </w:pPr>
      <w:r w:rsidRPr="00964B84">
        <w:rPr>
          <w:rFonts w:ascii="Verdana" w:hAnsi="Verdana" w:cs="Arial"/>
          <w:sz w:val="20"/>
          <w:szCs w:val="20"/>
          <w:lang w:val="es-MX"/>
        </w:rPr>
        <w:t>En todo caso los flujos o valores que hacen parte de los ALAC no podrán incluirse en el cálculo de los demás elementos que componen el conjunto de liquidez a 30 días.</w:t>
      </w:r>
    </w:p>
    <w:p w14:paraId="56A62669" w14:textId="77777777" w:rsidR="00CA27F2" w:rsidRPr="00CA27F2" w:rsidRDefault="00CA27F2" w:rsidP="00CA27F2">
      <w:pPr>
        <w:pStyle w:val="Prrafodelista"/>
        <w:ind w:left="284"/>
        <w:jc w:val="both"/>
        <w:rPr>
          <w:rFonts w:ascii="Verdana" w:hAnsi="Verdana"/>
          <w:b/>
          <w:i/>
          <w:iCs/>
          <w:sz w:val="20"/>
          <w:szCs w:val="20"/>
        </w:rPr>
      </w:pPr>
    </w:p>
    <w:p w14:paraId="54E0D051" w14:textId="018140F8" w:rsidR="00D65BA0" w:rsidRPr="00CA27F2" w:rsidRDefault="00D65BA0" w:rsidP="00CA27F2">
      <w:pPr>
        <w:pStyle w:val="Prrafodelista"/>
        <w:numPr>
          <w:ilvl w:val="0"/>
          <w:numId w:val="10"/>
        </w:numPr>
        <w:ind w:left="284" w:hanging="284"/>
        <w:jc w:val="both"/>
        <w:rPr>
          <w:rFonts w:ascii="Verdana" w:hAnsi="Verdana"/>
          <w:b/>
          <w:i/>
          <w:iCs/>
          <w:sz w:val="20"/>
          <w:szCs w:val="20"/>
        </w:rPr>
      </w:pPr>
      <w:proofErr w:type="spellStart"/>
      <w:r w:rsidRPr="00CA27F2">
        <w:rPr>
          <w:rFonts w:ascii="Verdana" w:hAnsi="Verdana"/>
          <w:b/>
          <w:bCs/>
          <w:i/>
          <w:iCs/>
          <w:sz w:val="20"/>
          <w:szCs w:val="20"/>
        </w:rPr>
        <w:t>Haircuts</w:t>
      </w:r>
      <w:proofErr w:type="spellEnd"/>
    </w:p>
    <w:p w14:paraId="31C235D2" w14:textId="02997508" w:rsidR="006A66A9" w:rsidRPr="000E0B7B" w:rsidRDefault="006A66A9" w:rsidP="006A66A9">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16</w:t>
      </w:r>
      <w:r w:rsidRPr="000E0B7B">
        <w:rPr>
          <w:rFonts w:ascii="Verdana" w:hAnsi="Verdana"/>
          <w:sz w:val="20"/>
          <w:szCs w:val="20"/>
        </w:rPr>
        <w:t>.</w:t>
      </w:r>
    </w:p>
    <w:p w14:paraId="420859FF" w14:textId="1F365CB3" w:rsidR="00CA27F2" w:rsidRDefault="00D65BA0" w:rsidP="00CA27F2">
      <w:pPr>
        <w:pStyle w:val="Prrafodelista"/>
        <w:ind w:left="0"/>
        <w:jc w:val="both"/>
        <w:rPr>
          <w:rFonts w:ascii="Verdana" w:hAnsi="Verdana" w:cs="Arial"/>
          <w:sz w:val="20"/>
          <w:szCs w:val="20"/>
          <w:lang w:val="es-MX"/>
        </w:rPr>
      </w:pPr>
      <w:r w:rsidRPr="00964B84">
        <w:rPr>
          <w:rFonts w:ascii="Verdana" w:hAnsi="Verdana" w:cs="Arial"/>
          <w:sz w:val="20"/>
          <w:szCs w:val="20"/>
          <w:lang w:val="es-MX"/>
        </w:rPr>
        <w:t>Sobre el valor razonable vigente a la fecha de corte de los activos líquidos que comprenden las categorías anteriores</w:t>
      </w:r>
      <w:r w:rsidR="00E153F5">
        <w:rPr>
          <w:rFonts w:ascii="Verdana" w:hAnsi="Verdana" w:cs="Arial"/>
          <w:sz w:val="20"/>
          <w:szCs w:val="20"/>
          <w:lang w:val="es-MX"/>
        </w:rPr>
        <w:t>,</w:t>
      </w:r>
      <w:r w:rsidRPr="00964B84">
        <w:rPr>
          <w:rFonts w:ascii="Verdana" w:hAnsi="Verdana" w:cs="Arial"/>
          <w:sz w:val="20"/>
          <w:szCs w:val="20"/>
          <w:lang w:val="es-MX"/>
        </w:rPr>
        <w:t xml:space="preserve"> se deben aplicar los siguientes </w:t>
      </w:r>
      <w:proofErr w:type="spellStart"/>
      <w:r w:rsidRPr="003878FC">
        <w:rPr>
          <w:rFonts w:ascii="Verdana" w:hAnsi="Verdana" w:cs="Arial"/>
          <w:i/>
          <w:iCs/>
          <w:sz w:val="20"/>
          <w:szCs w:val="20"/>
          <w:lang w:val="es-MX"/>
        </w:rPr>
        <w:t>haircuts</w:t>
      </w:r>
      <w:proofErr w:type="spellEnd"/>
      <w:r w:rsidRPr="00964B84">
        <w:rPr>
          <w:rFonts w:ascii="Verdana" w:hAnsi="Verdana" w:cs="Arial"/>
          <w:sz w:val="20"/>
          <w:szCs w:val="20"/>
          <w:lang w:val="es-MX"/>
        </w:rPr>
        <w:t xml:space="preserve"> o descuentos según corresponda:</w:t>
      </w:r>
    </w:p>
    <w:p w14:paraId="773E19C2" w14:textId="77777777" w:rsidR="00CA27F2" w:rsidRDefault="00CA27F2" w:rsidP="00CA27F2">
      <w:pPr>
        <w:pStyle w:val="Prrafodelista"/>
        <w:ind w:left="0"/>
        <w:jc w:val="both"/>
        <w:rPr>
          <w:rFonts w:ascii="Verdana" w:hAnsi="Verdana" w:cs="Arial"/>
          <w:sz w:val="20"/>
          <w:szCs w:val="20"/>
          <w:lang w:val="es-MX"/>
        </w:rPr>
      </w:pPr>
    </w:p>
    <w:p w14:paraId="76CFD98C" w14:textId="77777777" w:rsidR="00CA27F2" w:rsidRPr="00CA27F2" w:rsidRDefault="00D65BA0" w:rsidP="00CA27F2">
      <w:pPr>
        <w:pStyle w:val="Prrafodelista"/>
        <w:numPr>
          <w:ilvl w:val="0"/>
          <w:numId w:val="12"/>
        </w:numPr>
        <w:ind w:left="567" w:hanging="567"/>
        <w:jc w:val="both"/>
        <w:rPr>
          <w:rFonts w:ascii="Verdana" w:hAnsi="Verdana" w:cs="Arial"/>
          <w:sz w:val="20"/>
          <w:szCs w:val="20"/>
          <w:lang w:val="es-MX"/>
        </w:rPr>
      </w:pPr>
      <w:r w:rsidRPr="00964B84">
        <w:rPr>
          <w:rFonts w:ascii="Verdana" w:hAnsi="Verdana"/>
          <w:sz w:val="20"/>
          <w:szCs w:val="20"/>
          <w:lang w:val="es-MX"/>
        </w:rPr>
        <w:t xml:space="preserve">Los </w:t>
      </w:r>
      <w:proofErr w:type="spellStart"/>
      <w:r w:rsidRPr="003878FC">
        <w:rPr>
          <w:rFonts w:ascii="Verdana" w:hAnsi="Verdana"/>
          <w:i/>
          <w:iCs/>
          <w:sz w:val="20"/>
          <w:szCs w:val="20"/>
          <w:lang w:val="es-MX"/>
        </w:rPr>
        <w:t>haircuts</w:t>
      </w:r>
      <w:proofErr w:type="spellEnd"/>
      <w:r w:rsidRPr="00964B84">
        <w:rPr>
          <w:rFonts w:ascii="Verdana" w:hAnsi="Verdana"/>
          <w:sz w:val="20"/>
          <w:szCs w:val="20"/>
          <w:lang w:val="es-MX"/>
        </w:rPr>
        <w:t xml:space="preserve"> o descuentos que aplica el Banco de la República a un día a los distintos valores para la realización de operaciones repo, los cuales son actualizados y publicados en la página web del Banco.</w:t>
      </w:r>
    </w:p>
    <w:p w14:paraId="6FC39DD3" w14:textId="77777777" w:rsidR="00CA27F2" w:rsidRPr="00CA27F2" w:rsidRDefault="00CA27F2" w:rsidP="00CA27F2">
      <w:pPr>
        <w:pStyle w:val="Prrafodelista"/>
        <w:ind w:left="567"/>
        <w:jc w:val="both"/>
        <w:rPr>
          <w:rFonts w:ascii="Verdana" w:hAnsi="Verdana" w:cs="Arial"/>
          <w:sz w:val="20"/>
          <w:szCs w:val="20"/>
          <w:lang w:val="es-MX"/>
        </w:rPr>
      </w:pPr>
    </w:p>
    <w:p w14:paraId="28747262" w14:textId="34E92881" w:rsidR="00CA27F2" w:rsidRPr="00CA27F2" w:rsidRDefault="00D65BA0" w:rsidP="00CA27F2">
      <w:pPr>
        <w:pStyle w:val="Prrafodelista"/>
        <w:numPr>
          <w:ilvl w:val="0"/>
          <w:numId w:val="12"/>
        </w:numPr>
        <w:ind w:left="567" w:hanging="567"/>
        <w:jc w:val="both"/>
        <w:rPr>
          <w:rFonts w:ascii="Verdana" w:hAnsi="Verdana" w:cs="Arial"/>
          <w:sz w:val="20"/>
          <w:szCs w:val="20"/>
          <w:lang w:val="es-MX"/>
        </w:rPr>
      </w:pPr>
      <w:r w:rsidRPr="00CA27F2">
        <w:rPr>
          <w:rFonts w:ascii="Verdana" w:hAnsi="Verdana"/>
          <w:sz w:val="20"/>
          <w:szCs w:val="20"/>
          <w:lang w:val="es-MX"/>
        </w:rPr>
        <w:t>El 15% para las acciones inscritas en una bolsa de valores en Colombia y que sean elegibles</w:t>
      </w:r>
      <w:r w:rsidRPr="00CA27F2">
        <w:rPr>
          <w:rFonts w:ascii="Verdana" w:hAnsi="Verdana"/>
          <w:sz w:val="20"/>
          <w:szCs w:val="20"/>
        </w:rPr>
        <w:t xml:space="preserve"> para ser objeto de operaciones reporto o repo y al mismo tiempo admisibles como garantía de variación en dichas operaciones por la respectiva bolsa.</w:t>
      </w:r>
    </w:p>
    <w:p w14:paraId="655C90A6" w14:textId="77777777" w:rsidR="00CA27F2" w:rsidRPr="00CA27F2" w:rsidRDefault="00CA27F2" w:rsidP="00CA27F2">
      <w:pPr>
        <w:pStyle w:val="Prrafodelista"/>
        <w:ind w:left="567"/>
        <w:jc w:val="both"/>
        <w:rPr>
          <w:rFonts w:ascii="Verdana" w:hAnsi="Verdana" w:cs="Arial"/>
          <w:sz w:val="20"/>
          <w:szCs w:val="20"/>
          <w:lang w:val="es-MX"/>
        </w:rPr>
      </w:pPr>
    </w:p>
    <w:p w14:paraId="0189D2D6" w14:textId="1619ACC6" w:rsidR="00CA27F2" w:rsidRPr="00CA27F2" w:rsidRDefault="00D65BA0" w:rsidP="00CA27F2">
      <w:pPr>
        <w:pStyle w:val="Prrafodelista"/>
        <w:numPr>
          <w:ilvl w:val="0"/>
          <w:numId w:val="12"/>
        </w:numPr>
        <w:ind w:left="567" w:hanging="567"/>
        <w:jc w:val="both"/>
        <w:rPr>
          <w:rFonts w:ascii="Verdana" w:hAnsi="Verdana" w:cs="Arial"/>
          <w:sz w:val="20"/>
          <w:szCs w:val="20"/>
          <w:lang w:val="es-MX"/>
        </w:rPr>
      </w:pPr>
      <w:r w:rsidRPr="00CA27F2">
        <w:rPr>
          <w:rFonts w:ascii="Verdana" w:hAnsi="Verdana"/>
          <w:sz w:val="20"/>
          <w:szCs w:val="20"/>
        </w:rPr>
        <w:t>El 5.5% sobre el precio justo de intercambio de todos los valores denominados en moneda extranjera que no aparezcan en el informe del Banco de la República, sobre el efectivo y los flujos contractuales denominados en moneda extranjera.</w:t>
      </w:r>
    </w:p>
    <w:p w14:paraId="721468EC" w14:textId="77777777" w:rsidR="00CA27F2" w:rsidRPr="00CA27F2" w:rsidRDefault="00CA27F2" w:rsidP="00CA27F2">
      <w:pPr>
        <w:pStyle w:val="Prrafodelista"/>
        <w:ind w:left="567"/>
        <w:jc w:val="both"/>
        <w:rPr>
          <w:rFonts w:ascii="Verdana" w:hAnsi="Verdana" w:cs="Arial"/>
          <w:sz w:val="20"/>
          <w:szCs w:val="20"/>
          <w:lang w:val="es-MX"/>
        </w:rPr>
      </w:pPr>
    </w:p>
    <w:p w14:paraId="209458D3" w14:textId="2B26298A" w:rsidR="00CA27F2" w:rsidRPr="00CA27F2" w:rsidRDefault="00D65BA0" w:rsidP="00CA27F2">
      <w:pPr>
        <w:pStyle w:val="Prrafodelista"/>
        <w:numPr>
          <w:ilvl w:val="0"/>
          <w:numId w:val="12"/>
        </w:numPr>
        <w:ind w:left="567" w:hanging="567"/>
        <w:jc w:val="both"/>
        <w:rPr>
          <w:rFonts w:ascii="Verdana" w:hAnsi="Verdana" w:cs="Arial"/>
          <w:sz w:val="20"/>
          <w:szCs w:val="20"/>
          <w:lang w:val="es-MX"/>
        </w:rPr>
      </w:pPr>
      <w:r w:rsidRPr="00CA27F2">
        <w:rPr>
          <w:rFonts w:ascii="Verdana" w:hAnsi="Verdana"/>
          <w:sz w:val="20"/>
          <w:szCs w:val="20"/>
        </w:rPr>
        <w:t xml:space="preserve">El 15% para las participaciones en FIC, participaciones en fondos del exterior, títulos de deuda para los cuales no exista un </w:t>
      </w:r>
      <w:r w:rsidRPr="003878FC">
        <w:rPr>
          <w:rFonts w:ascii="Verdana" w:hAnsi="Verdana"/>
          <w:i/>
          <w:iCs/>
          <w:sz w:val="20"/>
          <w:szCs w:val="20"/>
        </w:rPr>
        <w:t>haircut</w:t>
      </w:r>
      <w:r w:rsidRPr="00CA27F2">
        <w:rPr>
          <w:rFonts w:ascii="Verdana" w:hAnsi="Verdana"/>
          <w:sz w:val="20"/>
          <w:szCs w:val="20"/>
        </w:rPr>
        <w:t xml:space="preserve"> establecido por el Banco de la República, entre otros, siempre que cuenten con calificación crediticia de largo plazo AA- (o equivalente) o superior, o si la calificación crediticia de corto plazo es grado de inversión.</w:t>
      </w:r>
    </w:p>
    <w:p w14:paraId="643E9B48" w14:textId="77777777" w:rsidR="00CA27F2" w:rsidRPr="00CA27F2" w:rsidRDefault="00CA27F2" w:rsidP="00CA27F2">
      <w:pPr>
        <w:pStyle w:val="Prrafodelista"/>
        <w:ind w:left="567"/>
        <w:jc w:val="both"/>
        <w:rPr>
          <w:rFonts w:ascii="Verdana" w:hAnsi="Verdana" w:cs="Arial"/>
          <w:sz w:val="20"/>
          <w:szCs w:val="20"/>
          <w:lang w:val="es-MX"/>
        </w:rPr>
      </w:pPr>
    </w:p>
    <w:p w14:paraId="039A2BA0" w14:textId="140A251E" w:rsidR="00CA27F2" w:rsidRPr="00CA27F2" w:rsidRDefault="00D65BA0" w:rsidP="00CA27F2">
      <w:pPr>
        <w:pStyle w:val="Prrafodelista"/>
        <w:numPr>
          <w:ilvl w:val="0"/>
          <w:numId w:val="12"/>
        </w:numPr>
        <w:ind w:left="567" w:hanging="567"/>
        <w:jc w:val="both"/>
        <w:rPr>
          <w:rFonts w:ascii="Verdana" w:hAnsi="Verdana" w:cs="Arial"/>
          <w:sz w:val="20"/>
          <w:szCs w:val="20"/>
          <w:lang w:val="es-MX"/>
        </w:rPr>
      </w:pPr>
      <w:r w:rsidRPr="00CA27F2">
        <w:rPr>
          <w:rFonts w:ascii="Verdana" w:hAnsi="Verdana"/>
          <w:sz w:val="20"/>
          <w:szCs w:val="20"/>
        </w:rPr>
        <w:t xml:space="preserve">El 20% para las participaciones en FIC, participaciones en fondos del exterior, títulos de deuda para los cuales no exista un </w:t>
      </w:r>
      <w:r w:rsidRPr="003878FC">
        <w:rPr>
          <w:rFonts w:ascii="Verdana" w:hAnsi="Verdana"/>
          <w:i/>
          <w:iCs/>
          <w:sz w:val="20"/>
          <w:szCs w:val="20"/>
        </w:rPr>
        <w:t>haircut</w:t>
      </w:r>
      <w:r w:rsidRPr="00CA27F2">
        <w:rPr>
          <w:rFonts w:ascii="Verdana" w:hAnsi="Verdana"/>
          <w:sz w:val="20"/>
          <w:szCs w:val="20"/>
        </w:rPr>
        <w:t xml:space="preserve"> establecido por el Banco de la República, entre otros, siempre que cuenten con calificación crediticia de largo plazo entre A+ y BBB- (o equivalente).</w:t>
      </w:r>
    </w:p>
    <w:p w14:paraId="088C0710" w14:textId="77777777" w:rsidR="00CA27F2" w:rsidRPr="00CA27F2" w:rsidRDefault="00CA27F2" w:rsidP="00CA27F2">
      <w:pPr>
        <w:pStyle w:val="Prrafodelista"/>
        <w:ind w:left="567"/>
        <w:jc w:val="both"/>
        <w:rPr>
          <w:rFonts w:ascii="Verdana" w:hAnsi="Verdana" w:cs="Arial"/>
          <w:sz w:val="20"/>
          <w:szCs w:val="20"/>
          <w:lang w:val="es-MX"/>
        </w:rPr>
      </w:pPr>
    </w:p>
    <w:p w14:paraId="0FA12A87" w14:textId="6B265C8E" w:rsidR="00CA27F2" w:rsidRPr="00CA27F2" w:rsidRDefault="00D65BA0" w:rsidP="00CA27F2">
      <w:pPr>
        <w:pStyle w:val="Prrafodelista"/>
        <w:numPr>
          <w:ilvl w:val="0"/>
          <w:numId w:val="12"/>
        </w:numPr>
        <w:ind w:left="567" w:hanging="567"/>
        <w:jc w:val="both"/>
        <w:rPr>
          <w:rFonts w:ascii="Verdana" w:hAnsi="Verdana" w:cs="Arial"/>
          <w:sz w:val="20"/>
          <w:szCs w:val="20"/>
          <w:lang w:val="es-MX"/>
        </w:rPr>
      </w:pPr>
      <w:r w:rsidRPr="00CA27F2">
        <w:rPr>
          <w:rFonts w:ascii="Verdana" w:hAnsi="Verdana"/>
          <w:sz w:val="20"/>
          <w:szCs w:val="20"/>
        </w:rPr>
        <w:t xml:space="preserve">El 50% para los títulos que no cuenten con un </w:t>
      </w:r>
      <w:r w:rsidRPr="00111401">
        <w:rPr>
          <w:rFonts w:ascii="Verdana" w:hAnsi="Verdana"/>
          <w:i/>
          <w:iCs/>
          <w:sz w:val="20"/>
          <w:szCs w:val="20"/>
        </w:rPr>
        <w:t>haircut</w:t>
      </w:r>
      <w:r w:rsidRPr="00111401">
        <w:rPr>
          <w:rFonts w:ascii="Verdana" w:hAnsi="Verdana"/>
          <w:sz w:val="20"/>
          <w:szCs w:val="20"/>
        </w:rPr>
        <w:t xml:space="preserve"> establecido </w:t>
      </w:r>
      <w:r w:rsidR="003125BB" w:rsidRPr="00CA27F2">
        <w:rPr>
          <w:rFonts w:ascii="Verdana" w:hAnsi="Verdana"/>
          <w:sz w:val="20"/>
          <w:szCs w:val="20"/>
          <w:lang w:val="es-ES_tradnl"/>
        </w:rPr>
        <w:t xml:space="preserve">en </w:t>
      </w:r>
      <w:r w:rsidR="003125BB">
        <w:rPr>
          <w:rFonts w:ascii="Verdana" w:hAnsi="Verdana"/>
          <w:sz w:val="20"/>
          <w:szCs w:val="20"/>
          <w:lang w:val="es-ES_tradnl"/>
        </w:rPr>
        <w:t>los literales (a), (b), (c), (d)</w:t>
      </w:r>
      <w:r w:rsidR="00ED5E72">
        <w:rPr>
          <w:rFonts w:ascii="Verdana" w:hAnsi="Verdana"/>
          <w:sz w:val="20"/>
          <w:szCs w:val="20"/>
          <w:lang w:val="es-ES_tradnl"/>
        </w:rPr>
        <w:t xml:space="preserve"> y</w:t>
      </w:r>
      <w:r w:rsidR="003125BB">
        <w:rPr>
          <w:rFonts w:ascii="Verdana" w:hAnsi="Verdana"/>
          <w:sz w:val="20"/>
          <w:szCs w:val="20"/>
          <w:lang w:val="es-ES_tradnl"/>
        </w:rPr>
        <w:t xml:space="preserve"> (e) del </w:t>
      </w:r>
      <w:r w:rsidR="003E7F83">
        <w:rPr>
          <w:rFonts w:ascii="Verdana" w:hAnsi="Verdana"/>
          <w:sz w:val="20"/>
          <w:szCs w:val="20"/>
          <w:lang w:val="es-ES_tradnl"/>
        </w:rPr>
        <w:t xml:space="preserve">presente </w:t>
      </w:r>
      <w:r w:rsidR="003125BB">
        <w:rPr>
          <w:rFonts w:ascii="Verdana" w:hAnsi="Verdana"/>
          <w:sz w:val="20"/>
          <w:szCs w:val="20"/>
          <w:lang w:val="es-ES_tradnl"/>
        </w:rPr>
        <w:t>párrafo</w:t>
      </w:r>
      <w:r w:rsidR="00ED5E72">
        <w:rPr>
          <w:rFonts w:ascii="Verdana" w:hAnsi="Verdana"/>
          <w:sz w:val="20"/>
          <w:szCs w:val="20"/>
          <w:lang w:val="es-ES_tradnl"/>
        </w:rPr>
        <w:t>, tales</w:t>
      </w:r>
      <w:r w:rsidRPr="00111401">
        <w:rPr>
          <w:rFonts w:ascii="Verdana" w:hAnsi="Verdana"/>
          <w:sz w:val="20"/>
          <w:szCs w:val="20"/>
        </w:rPr>
        <w:t xml:space="preserve"> como participaciones en FIC, participaciones en</w:t>
      </w:r>
      <w:r w:rsidRPr="00CA27F2">
        <w:rPr>
          <w:rFonts w:ascii="Verdana" w:hAnsi="Verdana"/>
          <w:sz w:val="20"/>
          <w:szCs w:val="20"/>
        </w:rPr>
        <w:t xml:space="preserve"> fondos del exterior, títulos de deuda soberana para los cuales no exista un </w:t>
      </w:r>
      <w:r w:rsidRPr="00444AD8">
        <w:rPr>
          <w:rFonts w:ascii="Verdana" w:hAnsi="Verdana"/>
          <w:i/>
          <w:iCs/>
          <w:sz w:val="20"/>
          <w:szCs w:val="20"/>
        </w:rPr>
        <w:t>haircut</w:t>
      </w:r>
      <w:r w:rsidRPr="00CA27F2">
        <w:rPr>
          <w:rFonts w:ascii="Verdana" w:hAnsi="Verdana"/>
          <w:sz w:val="20"/>
          <w:szCs w:val="20"/>
        </w:rPr>
        <w:t xml:space="preserve"> establecido por el Banco de la República, entre otros que cuenten </w:t>
      </w:r>
      <w:r w:rsidRPr="00CA27F2">
        <w:rPr>
          <w:rFonts w:ascii="Verdana" w:hAnsi="Verdana"/>
          <w:sz w:val="20"/>
          <w:szCs w:val="20"/>
        </w:rPr>
        <w:lastRenderedPageBreak/>
        <w:t>con calificación crediticia de grado especulativo (corto o largo plazo) o que no cuenten con calificación.</w:t>
      </w:r>
    </w:p>
    <w:p w14:paraId="7B587438" w14:textId="77777777" w:rsidR="00CA27F2" w:rsidRPr="00CA27F2" w:rsidRDefault="00CA27F2" w:rsidP="00CA27F2">
      <w:pPr>
        <w:pStyle w:val="Prrafodelista"/>
        <w:ind w:left="567"/>
        <w:jc w:val="both"/>
        <w:rPr>
          <w:rFonts w:ascii="Verdana" w:hAnsi="Verdana" w:cs="Arial"/>
          <w:sz w:val="20"/>
          <w:szCs w:val="20"/>
          <w:lang w:val="es-MX"/>
        </w:rPr>
      </w:pPr>
    </w:p>
    <w:p w14:paraId="2F06EE3B" w14:textId="71ECC4BF" w:rsidR="00FF65AC" w:rsidRPr="00CA27F2" w:rsidRDefault="00D65BA0" w:rsidP="00CA27F2">
      <w:pPr>
        <w:pStyle w:val="Prrafodelista"/>
        <w:numPr>
          <w:ilvl w:val="0"/>
          <w:numId w:val="12"/>
        </w:numPr>
        <w:ind w:left="567" w:hanging="567"/>
        <w:jc w:val="both"/>
        <w:rPr>
          <w:rFonts w:ascii="Verdana" w:hAnsi="Verdana" w:cs="Arial"/>
          <w:sz w:val="20"/>
          <w:szCs w:val="20"/>
          <w:lang w:val="es-MX"/>
        </w:rPr>
      </w:pPr>
      <w:r w:rsidRPr="00CA27F2">
        <w:rPr>
          <w:rFonts w:ascii="Verdana" w:hAnsi="Verdana"/>
          <w:sz w:val="20"/>
          <w:szCs w:val="20"/>
        </w:rPr>
        <w:t xml:space="preserve">En el caso de ETF y fondos del exterior que no cuenten con calificación crediticia, y en </w:t>
      </w:r>
      <w:r w:rsidRPr="00CA27F2">
        <w:rPr>
          <w:rFonts w:ascii="Verdana" w:hAnsi="Verdana"/>
          <w:sz w:val="20"/>
          <w:szCs w:val="20"/>
          <w:lang w:val="es-ES_tradnl"/>
        </w:rPr>
        <w:t xml:space="preserve">cuyo reglamento se estipule la composición de sus inversiones, se aplicará el </w:t>
      </w:r>
      <w:r w:rsidRPr="00F20B49">
        <w:rPr>
          <w:rFonts w:ascii="Verdana" w:hAnsi="Verdana"/>
          <w:i/>
          <w:iCs/>
          <w:sz w:val="20"/>
          <w:szCs w:val="20"/>
          <w:lang w:val="es-ES_tradnl"/>
        </w:rPr>
        <w:t>haircut</w:t>
      </w:r>
      <w:r w:rsidRPr="00CA27F2">
        <w:rPr>
          <w:rFonts w:ascii="Verdana" w:hAnsi="Verdana"/>
          <w:sz w:val="20"/>
          <w:szCs w:val="20"/>
          <w:lang w:val="es-ES_tradnl"/>
        </w:rPr>
        <w:t xml:space="preserve"> que le corresponda a cada uno de sus componentes, teniendo en cuenta lo establecido en </w:t>
      </w:r>
      <w:r w:rsidR="00FD4D74">
        <w:rPr>
          <w:rFonts w:ascii="Verdana" w:hAnsi="Verdana"/>
          <w:sz w:val="20"/>
          <w:szCs w:val="20"/>
          <w:lang w:val="es-ES_tradnl"/>
        </w:rPr>
        <w:t>los literales (a), (b), (c), (d)</w:t>
      </w:r>
      <w:r w:rsidR="00187F2B">
        <w:rPr>
          <w:rFonts w:ascii="Verdana" w:hAnsi="Verdana"/>
          <w:sz w:val="20"/>
          <w:szCs w:val="20"/>
          <w:lang w:val="es-ES_tradnl"/>
        </w:rPr>
        <w:t xml:space="preserve">, (e) y (f) del </w:t>
      </w:r>
      <w:r w:rsidR="00005301">
        <w:rPr>
          <w:rFonts w:ascii="Verdana" w:hAnsi="Verdana"/>
          <w:sz w:val="20"/>
          <w:szCs w:val="20"/>
          <w:lang w:val="es-ES_tradnl"/>
        </w:rPr>
        <w:t xml:space="preserve">presente </w:t>
      </w:r>
      <w:r w:rsidR="00187F2B">
        <w:rPr>
          <w:rFonts w:ascii="Verdana" w:hAnsi="Verdana"/>
          <w:sz w:val="20"/>
          <w:szCs w:val="20"/>
          <w:lang w:val="es-ES_tradnl"/>
        </w:rPr>
        <w:t>párrafo.</w:t>
      </w:r>
    </w:p>
    <w:p w14:paraId="1FC10173" w14:textId="382994D5" w:rsidR="0022716E" w:rsidRPr="000E0B7B" w:rsidRDefault="0022716E" w:rsidP="0022716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17</w:t>
      </w:r>
      <w:r w:rsidRPr="000E0B7B">
        <w:rPr>
          <w:rFonts w:ascii="Verdana" w:hAnsi="Verdana"/>
          <w:sz w:val="20"/>
          <w:szCs w:val="20"/>
        </w:rPr>
        <w:t>.</w:t>
      </w:r>
    </w:p>
    <w:p w14:paraId="15BC637E" w14:textId="315B5CBF" w:rsidR="00D65BA0" w:rsidRPr="00964B84" w:rsidRDefault="00D65BA0" w:rsidP="00D65BA0">
      <w:pPr>
        <w:pStyle w:val="Normal9pt"/>
        <w:numPr>
          <w:ilvl w:val="0"/>
          <w:numId w:val="0"/>
        </w:numPr>
        <w:rPr>
          <w:rFonts w:ascii="Verdana" w:hAnsi="Verdana"/>
          <w:sz w:val="20"/>
          <w:szCs w:val="20"/>
        </w:rPr>
      </w:pPr>
      <w:r w:rsidRPr="00964B84">
        <w:rPr>
          <w:rFonts w:ascii="Verdana" w:hAnsi="Verdana"/>
          <w:sz w:val="20"/>
          <w:szCs w:val="20"/>
        </w:rPr>
        <w:t>Cuando en el reglamento del fondo no pueda determinarse la composición de las inversiones, se aplicará el haircut correspondiente al activo que represente al menos el 60% del valor del fondo, de ser el caso, teniendo en cue</w:t>
      </w:r>
      <w:r w:rsidRPr="00895F78">
        <w:rPr>
          <w:rFonts w:ascii="Verdana" w:hAnsi="Verdana"/>
          <w:sz w:val="20"/>
          <w:szCs w:val="20"/>
        </w:rPr>
        <w:t xml:space="preserve">nta lo establecido </w:t>
      </w:r>
      <w:r w:rsidR="00895F78" w:rsidRPr="00895F78">
        <w:rPr>
          <w:rFonts w:ascii="Verdana" w:hAnsi="Verdana"/>
          <w:sz w:val="20"/>
          <w:szCs w:val="20"/>
          <w:lang w:val="es-ES_tradnl"/>
        </w:rPr>
        <w:t>en los literales (a), (b), (c), (d), (e) y (f) del párrafo 1.1.A11.16.</w:t>
      </w:r>
    </w:p>
    <w:p w14:paraId="774184E7" w14:textId="77777777" w:rsidR="00D65BA0" w:rsidRPr="00964B84" w:rsidRDefault="00D65BA0" w:rsidP="00D65BA0">
      <w:pPr>
        <w:pStyle w:val="Normal9pt"/>
        <w:numPr>
          <w:ilvl w:val="0"/>
          <w:numId w:val="0"/>
        </w:numPr>
        <w:rPr>
          <w:rFonts w:ascii="Verdana" w:hAnsi="Verdana"/>
          <w:sz w:val="20"/>
          <w:szCs w:val="20"/>
        </w:rPr>
      </w:pPr>
    </w:p>
    <w:p w14:paraId="0C9F551B" w14:textId="1148FF05" w:rsidR="006267D9" w:rsidRPr="000E0B7B" w:rsidRDefault="006267D9" w:rsidP="006267D9">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18</w:t>
      </w:r>
      <w:r w:rsidRPr="000E0B7B">
        <w:rPr>
          <w:rFonts w:ascii="Verdana" w:hAnsi="Verdana"/>
          <w:sz w:val="20"/>
          <w:szCs w:val="20"/>
        </w:rPr>
        <w:t>.</w:t>
      </w:r>
    </w:p>
    <w:p w14:paraId="27949199" w14:textId="070182E0" w:rsidR="00D65BA0" w:rsidRPr="00964B84" w:rsidRDefault="00D65BA0" w:rsidP="00D65BA0">
      <w:pPr>
        <w:pStyle w:val="Normal9pt"/>
        <w:numPr>
          <w:ilvl w:val="0"/>
          <w:numId w:val="0"/>
        </w:numPr>
        <w:rPr>
          <w:rFonts w:ascii="Verdana" w:hAnsi="Verdana"/>
          <w:sz w:val="20"/>
          <w:szCs w:val="20"/>
        </w:rPr>
      </w:pPr>
      <w:r w:rsidRPr="00964B84">
        <w:rPr>
          <w:rFonts w:ascii="Verdana" w:hAnsi="Verdana"/>
          <w:sz w:val="20"/>
          <w:szCs w:val="20"/>
        </w:rPr>
        <w:t xml:space="preserve">Cuando no aplique ninguna de las reglas </w:t>
      </w:r>
      <w:r w:rsidR="00557541">
        <w:rPr>
          <w:rFonts w:ascii="Verdana" w:hAnsi="Verdana"/>
          <w:sz w:val="20"/>
          <w:szCs w:val="20"/>
        </w:rPr>
        <w:t xml:space="preserve">comprendidas entre los párrafos </w:t>
      </w:r>
      <w:r w:rsidR="00557541" w:rsidRPr="00557541">
        <w:rPr>
          <w:rFonts w:ascii="Verdana" w:hAnsi="Verdana"/>
          <w:sz w:val="20"/>
          <w:szCs w:val="20"/>
        </w:rPr>
        <w:t>1.1.A11.16.</w:t>
      </w:r>
      <w:r w:rsidR="00557541">
        <w:rPr>
          <w:rFonts w:ascii="Verdana" w:hAnsi="Verdana"/>
          <w:sz w:val="20"/>
          <w:szCs w:val="20"/>
        </w:rPr>
        <w:t xml:space="preserve"> y </w:t>
      </w:r>
      <w:r w:rsidR="00892FE3">
        <w:rPr>
          <w:rFonts w:ascii="Verdana" w:hAnsi="Verdana"/>
          <w:sz w:val="20"/>
          <w:szCs w:val="20"/>
        </w:rPr>
        <w:t>1.1.A11.20.</w:t>
      </w:r>
      <w:r w:rsidRPr="00964B84">
        <w:rPr>
          <w:rFonts w:ascii="Verdana" w:hAnsi="Verdana"/>
          <w:sz w:val="20"/>
          <w:szCs w:val="20"/>
        </w:rPr>
        <w:t xml:space="preserve"> se aplicará un </w:t>
      </w:r>
      <w:r w:rsidRPr="00895F78">
        <w:rPr>
          <w:rFonts w:ascii="Verdana" w:hAnsi="Verdana"/>
          <w:i/>
          <w:iCs/>
          <w:sz w:val="20"/>
          <w:szCs w:val="20"/>
        </w:rPr>
        <w:t>haircut</w:t>
      </w:r>
      <w:r w:rsidRPr="00964B84">
        <w:rPr>
          <w:rFonts w:ascii="Verdana" w:hAnsi="Verdana"/>
          <w:sz w:val="20"/>
          <w:szCs w:val="20"/>
        </w:rPr>
        <w:t xml:space="preserve"> del 50%.</w:t>
      </w:r>
    </w:p>
    <w:p w14:paraId="4FD0AC58" w14:textId="77777777" w:rsidR="009C3E38" w:rsidRDefault="009C3E38" w:rsidP="009C3E38">
      <w:pPr>
        <w:spacing w:after="0"/>
        <w:rPr>
          <w:rFonts w:ascii="Verdana" w:hAnsi="Verdana"/>
          <w:sz w:val="20"/>
          <w:szCs w:val="20"/>
        </w:rPr>
      </w:pPr>
    </w:p>
    <w:p w14:paraId="78CFF265" w14:textId="2B3241A9" w:rsidR="009C3E38" w:rsidRPr="000E0B7B" w:rsidRDefault="009C3E38" w:rsidP="009C3E38">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19</w:t>
      </w:r>
      <w:r w:rsidRPr="000E0B7B">
        <w:rPr>
          <w:rFonts w:ascii="Verdana" w:hAnsi="Verdana"/>
          <w:sz w:val="20"/>
          <w:szCs w:val="20"/>
        </w:rPr>
        <w:t>.</w:t>
      </w:r>
    </w:p>
    <w:p w14:paraId="359044FB" w14:textId="3D9655C4" w:rsidR="00D65BA0" w:rsidRPr="00964B84" w:rsidRDefault="00D65BA0" w:rsidP="00D65BA0">
      <w:pPr>
        <w:pStyle w:val="Normal9pt"/>
        <w:numPr>
          <w:ilvl w:val="0"/>
          <w:numId w:val="0"/>
        </w:numPr>
        <w:rPr>
          <w:rFonts w:ascii="Verdana" w:hAnsi="Verdana"/>
          <w:sz w:val="20"/>
          <w:szCs w:val="20"/>
          <w:lang w:val="es-CO"/>
        </w:rPr>
      </w:pPr>
      <w:r w:rsidRPr="00964B84">
        <w:rPr>
          <w:rFonts w:ascii="Verdana" w:hAnsi="Verdana"/>
          <w:sz w:val="20"/>
          <w:szCs w:val="20"/>
          <w:lang w:val="es-CO"/>
        </w:rPr>
        <w:t xml:space="preserve">Para las equivalencias de las </w:t>
      </w:r>
      <w:r w:rsidRPr="00895F78">
        <w:rPr>
          <w:rFonts w:ascii="Verdana" w:hAnsi="Verdana"/>
          <w:sz w:val="20"/>
          <w:szCs w:val="20"/>
          <w:lang w:val="es-CO"/>
        </w:rPr>
        <w:t xml:space="preserve">distintas calificaciones a las que se refieren </w:t>
      </w:r>
      <w:r w:rsidR="00895F78" w:rsidRPr="00895F78">
        <w:rPr>
          <w:rFonts w:ascii="Verdana" w:hAnsi="Verdana"/>
          <w:sz w:val="20"/>
          <w:szCs w:val="20"/>
          <w:lang w:val="es-ES_tradnl"/>
        </w:rPr>
        <w:t>los literales (d), (e), y (f) del párrafo 1.1.A11.16.</w:t>
      </w:r>
      <w:r w:rsidRPr="00895F78">
        <w:rPr>
          <w:rFonts w:ascii="Verdana" w:hAnsi="Verdana"/>
          <w:sz w:val="20"/>
          <w:szCs w:val="20"/>
          <w:lang w:val="es-CO"/>
        </w:rPr>
        <w:t>, se deberá tener en cuenta el listado “Códigos de Calificación” que la SFC tenga dispuesto para el efecto.</w:t>
      </w:r>
    </w:p>
    <w:p w14:paraId="7AB31CC8" w14:textId="77777777" w:rsidR="00D65BA0" w:rsidRPr="00964B84" w:rsidRDefault="00D65BA0" w:rsidP="00D65BA0">
      <w:pPr>
        <w:pStyle w:val="Normal9pt"/>
        <w:numPr>
          <w:ilvl w:val="0"/>
          <w:numId w:val="0"/>
        </w:numPr>
        <w:rPr>
          <w:rFonts w:ascii="Verdana" w:hAnsi="Verdana"/>
          <w:sz w:val="20"/>
          <w:szCs w:val="20"/>
          <w:lang w:val="es-CO"/>
        </w:rPr>
      </w:pPr>
    </w:p>
    <w:p w14:paraId="1AFA847B" w14:textId="40DE1D62" w:rsidR="00FA65F1" w:rsidRPr="000E0B7B" w:rsidRDefault="00FA65F1" w:rsidP="00FA65F1">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20</w:t>
      </w:r>
      <w:r w:rsidRPr="000E0B7B">
        <w:rPr>
          <w:rFonts w:ascii="Verdana" w:hAnsi="Verdana"/>
          <w:sz w:val="20"/>
          <w:szCs w:val="20"/>
        </w:rPr>
        <w:t>.</w:t>
      </w:r>
    </w:p>
    <w:p w14:paraId="44642F6C" w14:textId="2CF4AFA9" w:rsidR="00D65BA0" w:rsidRPr="00964B84" w:rsidRDefault="00D65BA0" w:rsidP="00D65BA0">
      <w:pPr>
        <w:pStyle w:val="Normal9pt"/>
        <w:numPr>
          <w:ilvl w:val="0"/>
          <w:numId w:val="0"/>
        </w:numPr>
        <w:rPr>
          <w:rFonts w:ascii="Verdana" w:hAnsi="Verdana"/>
          <w:sz w:val="20"/>
          <w:szCs w:val="20"/>
        </w:rPr>
      </w:pPr>
      <w:r w:rsidRPr="00964B84">
        <w:rPr>
          <w:rFonts w:ascii="Verdana" w:hAnsi="Verdana"/>
          <w:sz w:val="20"/>
          <w:szCs w:val="20"/>
        </w:rPr>
        <w:t xml:space="preserve">En el caso de los Recursos Líquidos, no les serán aplicables ninguno de los </w:t>
      </w:r>
      <w:proofErr w:type="spellStart"/>
      <w:r w:rsidRPr="006D5114">
        <w:rPr>
          <w:rFonts w:ascii="Verdana" w:hAnsi="Verdana"/>
          <w:i/>
          <w:iCs/>
          <w:sz w:val="20"/>
          <w:szCs w:val="20"/>
        </w:rPr>
        <w:t>haircuts</w:t>
      </w:r>
      <w:proofErr w:type="spellEnd"/>
      <w:r w:rsidRPr="006D5114">
        <w:rPr>
          <w:rFonts w:ascii="Verdana" w:hAnsi="Verdana"/>
          <w:i/>
          <w:iCs/>
          <w:sz w:val="20"/>
          <w:szCs w:val="20"/>
        </w:rPr>
        <w:t xml:space="preserve"> </w:t>
      </w:r>
      <w:r w:rsidRPr="00964B84">
        <w:rPr>
          <w:rFonts w:ascii="Verdana" w:hAnsi="Verdana"/>
          <w:sz w:val="20"/>
          <w:szCs w:val="20"/>
        </w:rPr>
        <w:t xml:space="preserve">siempre que los flujos sean liquidados en pesos, </w:t>
      </w:r>
      <w:r w:rsidR="00B4485B">
        <w:rPr>
          <w:rFonts w:ascii="Verdana" w:hAnsi="Verdana"/>
          <w:sz w:val="20"/>
          <w:szCs w:val="20"/>
        </w:rPr>
        <w:t xml:space="preserve">cuando estos recursos </w:t>
      </w:r>
      <w:r w:rsidRPr="00964B84">
        <w:rPr>
          <w:rFonts w:ascii="Verdana" w:hAnsi="Verdana"/>
          <w:sz w:val="20"/>
          <w:szCs w:val="20"/>
        </w:rPr>
        <w:t>se</w:t>
      </w:r>
      <w:r w:rsidR="00B4485B">
        <w:rPr>
          <w:rFonts w:ascii="Verdana" w:hAnsi="Verdana"/>
          <w:sz w:val="20"/>
          <w:szCs w:val="20"/>
        </w:rPr>
        <w:t>an</w:t>
      </w:r>
      <w:r w:rsidRPr="00964B84">
        <w:rPr>
          <w:rFonts w:ascii="Verdana" w:hAnsi="Verdana"/>
          <w:sz w:val="20"/>
          <w:szCs w:val="20"/>
        </w:rPr>
        <w:t xml:space="preserve"> liquidados en otra moneda les aplicar</w:t>
      </w:r>
      <w:r w:rsidR="00374EE4">
        <w:rPr>
          <w:rFonts w:ascii="Verdana" w:hAnsi="Verdana"/>
          <w:sz w:val="20"/>
          <w:szCs w:val="20"/>
        </w:rPr>
        <w:t>á</w:t>
      </w:r>
      <w:r w:rsidRPr="00964B84">
        <w:rPr>
          <w:rFonts w:ascii="Verdana" w:hAnsi="Verdana"/>
          <w:sz w:val="20"/>
          <w:szCs w:val="20"/>
        </w:rPr>
        <w:t xml:space="preserve"> el </w:t>
      </w:r>
      <w:r w:rsidRPr="0027156C">
        <w:rPr>
          <w:rFonts w:ascii="Verdana" w:hAnsi="Verdana"/>
          <w:i/>
          <w:iCs/>
          <w:sz w:val="20"/>
          <w:szCs w:val="20"/>
        </w:rPr>
        <w:t>haircut</w:t>
      </w:r>
      <w:r w:rsidRPr="00964B84">
        <w:rPr>
          <w:rFonts w:ascii="Verdana" w:hAnsi="Verdana"/>
          <w:sz w:val="20"/>
          <w:szCs w:val="20"/>
        </w:rPr>
        <w:t xml:space="preserve"> de moneda extranjera.</w:t>
      </w:r>
    </w:p>
    <w:p w14:paraId="527C2B5C" w14:textId="77777777" w:rsidR="00D65BA0" w:rsidRPr="00964B84" w:rsidRDefault="00D65BA0" w:rsidP="00D65BA0">
      <w:pPr>
        <w:pStyle w:val="Normal9pt"/>
        <w:numPr>
          <w:ilvl w:val="0"/>
          <w:numId w:val="0"/>
        </w:numPr>
        <w:rPr>
          <w:rFonts w:ascii="Verdana" w:hAnsi="Verdana"/>
          <w:i/>
          <w:sz w:val="20"/>
          <w:szCs w:val="20"/>
        </w:rPr>
      </w:pPr>
    </w:p>
    <w:p w14:paraId="6B4A007C" w14:textId="09F45F7D" w:rsidR="00D65BA0" w:rsidRPr="00964B84" w:rsidRDefault="00D65BA0" w:rsidP="00FF65AC">
      <w:pPr>
        <w:jc w:val="both"/>
        <w:rPr>
          <w:rFonts w:ascii="Verdana" w:hAnsi="Verdana"/>
          <w:b/>
          <w:i/>
          <w:sz w:val="20"/>
          <w:szCs w:val="20"/>
        </w:rPr>
      </w:pPr>
      <w:r w:rsidRPr="00FF2D18">
        <w:rPr>
          <w:rFonts w:ascii="Verdana" w:hAnsi="Verdana"/>
          <w:b/>
          <w:bCs/>
          <w:sz w:val="20"/>
          <w:szCs w:val="20"/>
        </w:rPr>
        <w:t xml:space="preserve">Requerimiento de </w:t>
      </w:r>
      <w:r w:rsidR="00CA27F2">
        <w:rPr>
          <w:rFonts w:ascii="Verdana" w:hAnsi="Verdana"/>
          <w:b/>
          <w:bCs/>
          <w:sz w:val="20"/>
          <w:szCs w:val="20"/>
        </w:rPr>
        <w:t>l</w:t>
      </w:r>
      <w:r w:rsidRPr="00FF2D18">
        <w:rPr>
          <w:rFonts w:ascii="Verdana" w:hAnsi="Verdana"/>
          <w:b/>
          <w:bCs/>
          <w:sz w:val="20"/>
          <w:szCs w:val="20"/>
        </w:rPr>
        <w:t>iquidez</w:t>
      </w:r>
    </w:p>
    <w:p w14:paraId="347B5550" w14:textId="4FF05093" w:rsidR="00FA65F1" w:rsidRPr="000E0B7B" w:rsidRDefault="00FA65F1" w:rsidP="00FA65F1">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21</w:t>
      </w:r>
      <w:r w:rsidRPr="000E0B7B">
        <w:rPr>
          <w:rFonts w:ascii="Verdana" w:hAnsi="Verdana"/>
          <w:sz w:val="20"/>
          <w:szCs w:val="20"/>
        </w:rPr>
        <w:t>.</w:t>
      </w:r>
    </w:p>
    <w:p w14:paraId="11018957" w14:textId="7C536E89"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El requerimiento de liquidez corresponde a la estimación diaria del máximo retiro neto probable para cada FIC con base en su historia de retiros netos.</w:t>
      </w:r>
    </w:p>
    <w:p w14:paraId="02FE8A07" w14:textId="77777777" w:rsidR="00D65BA0" w:rsidRPr="00964B84" w:rsidRDefault="00D65BA0" w:rsidP="00D65BA0">
      <w:pPr>
        <w:pStyle w:val="Normal9pt"/>
        <w:numPr>
          <w:ilvl w:val="0"/>
          <w:numId w:val="0"/>
        </w:numPr>
        <w:rPr>
          <w:rFonts w:ascii="Verdana" w:hAnsi="Verdana"/>
          <w:i/>
          <w:sz w:val="20"/>
          <w:szCs w:val="20"/>
        </w:rPr>
      </w:pPr>
    </w:p>
    <w:p w14:paraId="0640138C" w14:textId="3CFD468A" w:rsidR="00CA27F2" w:rsidRDefault="00CA27F2" w:rsidP="00077A99">
      <w:pPr>
        <w:pStyle w:val="Prrafodelista"/>
        <w:numPr>
          <w:ilvl w:val="0"/>
          <w:numId w:val="10"/>
        </w:numPr>
        <w:spacing w:after="0"/>
        <w:ind w:left="284" w:hanging="284"/>
        <w:rPr>
          <w:rFonts w:ascii="Verdana" w:hAnsi="Verdana"/>
          <w:b/>
          <w:bCs/>
          <w:sz w:val="20"/>
          <w:szCs w:val="20"/>
        </w:rPr>
      </w:pPr>
      <w:r w:rsidRPr="00CA27F2">
        <w:rPr>
          <w:rFonts w:ascii="Verdana" w:hAnsi="Verdana"/>
          <w:b/>
          <w:bCs/>
          <w:sz w:val="20"/>
          <w:szCs w:val="20"/>
        </w:rPr>
        <w:t xml:space="preserve">Retiro </w:t>
      </w:r>
      <w:r w:rsidR="00F64AC7">
        <w:rPr>
          <w:rFonts w:ascii="Verdana" w:hAnsi="Verdana"/>
          <w:b/>
          <w:bCs/>
          <w:sz w:val="20"/>
          <w:szCs w:val="20"/>
        </w:rPr>
        <w:t>n</w:t>
      </w:r>
      <w:r w:rsidRPr="00CA27F2">
        <w:rPr>
          <w:rFonts w:ascii="Verdana" w:hAnsi="Verdana"/>
          <w:b/>
          <w:bCs/>
          <w:sz w:val="20"/>
          <w:szCs w:val="20"/>
        </w:rPr>
        <w:t xml:space="preserve">eto </w:t>
      </w:r>
      <w:r w:rsidR="00F64AC7">
        <w:rPr>
          <w:rFonts w:ascii="Verdana" w:hAnsi="Verdana"/>
          <w:b/>
          <w:bCs/>
          <w:sz w:val="20"/>
          <w:szCs w:val="20"/>
        </w:rPr>
        <w:t>d</w:t>
      </w:r>
      <w:r w:rsidRPr="00CA27F2">
        <w:rPr>
          <w:rFonts w:ascii="Verdana" w:hAnsi="Verdana"/>
          <w:b/>
          <w:bCs/>
          <w:sz w:val="20"/>
          <w:szCs w:val="20"/>
        </w:rPr>
        <w:t>iario</w:t>
      </w:r>
    </w:p>
    <w:p w14:paraId="2AA2E7B4" w14:textId="77777777" w:rsidR="00CA27F2" w:rsidRPr="00CA27F2" w:rsidRDefault="00CA27F2" w:rsidP="00CA27F2">
      <w:pPr>
        <w:pStyle w:val="Prrafodelista"/>
        <w:spacing w:after="0"/>
        <w:ind w:left="284"/>
        <w:rPr>
          <w:rFonts w:ascii="Verdana" w:hAnsi="Verdana"/>
          <w:b/>
          <w:bCs/>
          <w:sz w:val="20"/>
          <w:szCs w:val="20"/>
        </w:rPr>
      </w:pPr>
    </w:p>
    <w:p w14:paraId="60FD161D" w14:textId="56392AF9" w:rsidR="00077A99" w:rsidRPr="000E0B7B" w:rsidRDefault="00077A99" w:rsidP="00077A99">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22</w:t>
      </w:r>
      <w:r w:rsidRPr="000E0B7B">
        <w:rPr>
          <w:rFonts w:ascii="Verdana" w:hAnsi="Verdana"/>
          <w:sz w:val="20"/>
          <w:szCs w:val="20"/>
        </w:rPr>
        <w:t>.</w:t>
      </w:r>
    </w:p>
    <w:p w14:paraId="7A01E397" w14:textId="4EA2F19A" w:rsidR="00D65BA0" w:rsidRDefault="00D65BA0" w:rsidP="00D65BA0">
      <w:pPr>
        <w:pStyle w:val="Normal9pt"/>
        <w:numPr>
          <w:ilvl w:val="0"/>
          <w:numId w:val="0"/>
        </w:numPr>
        <w:rPr>
          <w:rFonts w:ascii="Verdana" w:hAnsi="Verdana"/>
          <w:sz w:val="20"/>
          <w:szCs w:val="20"/>
        </w:rPr>
      </w:pPr>
      <w:r w:rsidRPr="00964B84">
        <w:rPr>
          <w:rFonts w:ascii="Verdana" w:hAnsi="Verdana"/>
          <w:sz w:val="20"/>
          <w:szCs w:val="20"/>
        </w:rPr>
        <w:t>Es el total de retiros netos que registra el FIC en un día como proporción del valor neto del FIC (valor del patrimonio del FIC) al cierre del día anterior. Corresponde a la diferencia entre el valor absoluto del total de retiros y el valor absoluto del total de los aportes, descontando las anulaciones del día, lo anterior dividido sobre el valor neto del FIC al cierre del día anterior.</w:t>
      </w:r>
    </w:p>
    <w:p w14:paraId="78323C09" w14:textId="77777777" w:rsidR="00CA27F2" w:rsidRDefault="00CA27F2" w:rsidP="00D65BA0">
      <w:pPr>
        <w:pStyle w:val="Normal9pt"/>
        <w:numPr>
          <w:ilvl w:val="0"/>
          <w:numId w:val="0"/>
        </w:numPr>
        <w:rPr>
          <w:rFonts w:ascii="Verdana" w:hAnsi="Verdana"/>
          <w:sz w:val="20"/>
          <w:szCs w:val="20"/>
        </w:rPr>
      </w:pPr>
    </w:p>
    <w:p w14:paraId="48BBB68D" w14:textId="243F803C" w:rsidR="00CA27F2" w:rsidRPr="00CA27F2" w:rsidRDefault="00CA27F2" w:rsidP="00CA27F2">
      <w:pPr>
        <w:pStyle w:val="Normal9pt"/>
        <w:numPr>
          <w:ilvl w:val="0"/>
          <w:numId w:val="10"/>
        </w:numPr>
        <w:ind w:left="284" w:hanging="284"/>
        <w:rPr>
          <w:rFonts w:ascii="Verdana" w:hAnsi="Verdana"/>
          <w:b/>
          <w:bCs/>
          <w:i/>
          <w:sz w:val="20"/>
          <w:szCs w:val="20"/>
        </w:rPr>
      </w:pPr>
      <w:r w:rsidRPr="00CA27F2">
        <w:rPr>
          <w:rFonts w:ascii="Verdana" w:hAnsi="Verdana"/>
          <w:b/>
          <w:bCs/>
          <w:sz w:val="20"/>
          <w:szCs w:val="20"/>
        </w:rPr>
        <w:t xml:space="preserve">Máximo </w:t>
      </w:r>
      <w:r w:rsidR="00F64AC7">
        <w:rPr>
          <w:rFonts w:ascii="Verdana" w:hAnsi="Verdana"/>
          <w:b/>
          <w:bCs/>
          <w:sz w:val="20"/>
          <w:szCs w:val="20"/>
        </w:rPr>
        <w:t>r</w:t>
      </w:r>
      <w:r w:rsidRPr="00CA27F2">
        <w:rPr>
          <w:rFonts w:ascii="Verdana" w:hAnsi="Verdana"/>
          <w:b/>
          <w:bCs/>
          <w:sz w:val="20"/>
          <w:szCs w:val="20"/>
        </w:rPr>
        <w:t xml:space="preserve">etiro </w:t>
      </w:r>
      <w:r w:rsidR="00F64AC7">
        <w:rPr>
          <w:rFonts w:ascii="Verdana" w:hAnsi="Verdana"/>
          <w:b/>
          <w:bCs/>
          <w:sz w:val="20"/>
          <w:szCs w:val="20"/>
        </w:rPr>
        <w:t>n</w:t>
      </w:r>
      <w:r w:rsidRPr="00CA27F2">
        <w:rPr>
          <w:rFonts w:ascii="Verdana" w:hAnsi="Verdana"/>
          <w:b/>
          <w:bCs/>
          <w:sz w:val="20"/>
          <w:szCs w:val="20"/>
        </w:rPr>
        <w:t xml:space="preserve">eto </w:t>
      </w:r>
      <w:r w:rsidR="00F64AC7">
        <w:rPr>
          <w:rFonts w:ascii="Verdana" w:hAnsi="Verdana"/>
          <w:b/>
          <w:bCs/>
          <w:sz w:val="20"/>
          <w:szCs w:val="20"/>
        </w:rPr>
        <w:t>p</w:t>
      </w:r>
      <w:r w:rsidRPr="00CA27F2">
        <w:rPr>
          <w:rFonts w:ascii="Verdana" w:hAnsi="Verdana"/>
          <w:b/>
          <w:bCs/>
          <w:sz w:val="20"/>
          <w:szCs w:val="20"/>
        </w:rPr>
        <w:t>robable</w:t>
      </w:r>
    </w:p>
    <w:p w14:paraId="358508C7" w14:textId="77777777" w:rsidR="00D65BA0" w:rsidRPr="00964B84" w:rsidRDefault="00D65BA0" w:rsidP="00D65BA0">
      <w:pPr>
        <w:pStyle w:val="Normal9pt"/>
        <w:numPr>
          <w:ilvl w:val="0"/>
          <w:numId w:val="0"/>
        </w:numPr>
        <w:rPr>
          <w:rFonts w:ascii="Verdana" w:hAnsi="Verdana"/>
          <w:i/>
          <w:sz w:val="20"/>
          <w:szCs w:val="20"/>
        </w:rPr>
      </w:pPr>
    </w:p>
    <w:p w14:paraId="74377FCC" w14:textId="635AA610" w:rsidR="00CA27F2" w:rsidRDefault="00DE275A" w:rsidP="00CA27F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23</w:t>
      </w:r>
      <w:r w:rsidRPr="000E0B7B">
        <w:rPr>
          <w:rFonts w:ascii="Verdana" w:hAnsi="Verdana"/>
          <w:sz w:val="20"/>
          <w:szCs w:val="20"/>
        </w:rPr>
        <w:t>.</w:t>
      </w:r>
    </w:p>
    <w:p w14:paraId="4BAE7A82" w14:textId="3750E093" w:rsidR="00D65BA0" w:rsidRPr="00CA27F2" w:rsidRDefault="00D65BA0" w:rsidP="00F64AC7">
      <w:pPr>
        <w:spacing w:after="0"/>
        <w:jc w:val="both"/>
        <w:rPr>
          <w:rFonts w:ascii="Verdana" w:hAnsi="Verdana"/>
          <w:sz w:val="20"/>
          <w:szCs w:val="20"/>
        </w:rPr>
      </w:pPr>
      <w:r w:rsidRPr="00964B84">
        <w:rPr>
          <w:rFonts w:ascii="Verdana" w:hAnsi="Verdana"/>
          <w:sz w:val="20"/>
          <w:szCs w:val="20"/>
        </w:rPr>
        <w:t xml:space="preserve">Es el máximo retiro neto diario esperado en un día. Con el propósito de establecer el </w:t>
      </w:r>
      <w:r w:rsidR="00F64AC7">
        <w:rPr>
          <w:rFonts w:ascii="Verdana" w:hAnsi="Verdana"/>
          <w:sz w:val="20"/>
          <w:szCs w:val="20"/>
        </w:rPr>
        <w:t>m</w:t>
      </w:r>
      <w:r w:rsidRPr="00964B84">
        <w:rPr>
          <w:rFonts w:ascii="Verdana" w:hAnsi="Verdana"/>
          <w:sz w:val="20"/>
          <w:szCs w:val="20"/>
        </w:rPr>
        <w:t xml:space="preserve">áximo </w:t>
      </w:r>
      <w:r w:rsidR="00F64AC7">
        <w:rPr>
          <w:rFonts w:ascii="Verdana" w:hAnsi="Verdana"/>
          <w:sz w:val="20"/>
          <w:szCs w:val="20"/>
        </w:rPr>
        <w:t>r</w:t>
      </w:r>
      <w:r w:rsidRPr="00964B84">
        <w:rPr>
          <w:rFonts w:ascii="Verdana" w:hAnsi="Verdana"/>
          <w:sz w:val="20"/>
          <w:szCs w:val="20"/>
        </w:rPr>
        <w:t xml:space="preserve">etiro </w:t>
      </w:r>
      <w:r w:rsidR="00F64AC7">
        <w:rPr>
          <w:rFonts w:ascii="Verdana" w:hAnsi="Verdana"/>
          <w:sz w:val="20"/>
          <w:szCs w:val="20"/>
        </w:rPr>
        <w:t>n</w:t>
      </w:r>
      <w:r w:rsidRPr="00964B84">
        <w:rPr>
          <w:rFonts w:ascii="Verdana" w:hAnsi="Verdana"/>
          <w:sz w:val="20"/>
          <w:szCs w:val="20"/>
        </w:rPr>
        <w:t xml:space="preserve">eto </w:t>
      </w:r>
      <w:r w:rsidR="00F64AC7">
        <w:rPr>
          <w:rFonts w:ascii="Verdana" w:hAnsi="Verdana"/>
          <w:sz w:val="20"/>
          <w:szCs w:val="20"/>
        </w:rPr>
        <w:t>p</w:t>
      </w:r>
      <w:r w:rsidRPr="00964B84">
        <w:rPr>
          <w:rFonts w:ascii="Verdana" w:hAnsi="Verdana"/>
          <w:sz w:val="20"/>
          <w:szCs w:val="20"/>
        </w:rPr>
        <w:t>robable, sobre la serie histórica de retiros netos diarios se establecerá el percentil 95. La serie histórica corresponde al conjunto de retiros netos diarios calculados para los últimos 10 años, en el caso de los FIC que cuenten con una antigüedad inferior a 11 años la serie histórica corresponde al conjunto de retiros netos diarios registrados a partir del primer año de funcionamiento del FIC hasta la fecha de corte.</w:t>
      </w:r>
    </w:p>
    <w:p w14:paraId="679218F0" w14:textId="77777777" w:rsidR="00CA27F2" w:rsidRDefault="00CA27F2" w:rsidP="003E631A">
      <w:pPr>
        <w:spacing w:after="0"/>
        <w:rPr>
          <w:rFonts w:ascii="Verdana" w:hAnsi="Verdana"/>
          <w:sz w:val="20"/>
          <w:szCs w:val="20"/>
        </w:rPr>
      </w:pPr>
    </w:p>
    <w:p w14:paraId="5C1AE2B1" w14:textId="161D9EB2" w:rsidR="003E631A" w:rsidRPr="00CA27F2" w:rsidRDefault="00CA27F2" w:rsidP="00CA27F2">
      <w:pPr>
        <w:pStyle w:val="Prrafodelista"/>
        <w:numPr>
          <w:ilvl w:val="0"/>
          <w:numId w:val="10"/>
        </w:numPr>
        <w:spacing w:after="0"/>
        <w:ind w:left="284" w:hanging="284"/>
        <w:rPr>
          <w:rFonts w:ascii="Verdana" w:hAnsi="Verdana"/>
          <w:b/>
          <w:bCs/>
          <w:sz w:val="20"/>
          <w:szCs w:val="20"/>
        </w:rPr>
      </w:pPr>
      <w:r w:rsidRPr="00CA27F2">
        <w:rPr>
          <w:rFonts w:ascii="Verdana" w:hAnsi="Verdana"/>
          <w:b/>
          <w:bCs/>
          <w:sz w:val="20"/>
          <w:szCs w:val="20"/>
        </w:rPr>
        <w:t xml:space="preserve">Requerimiento de </w:t>
      </w:r>
      <w:r w:rsidR="001B112C">
        <w:rPr>
          <w:rFonts w:ascii="Verdana" w:hAnsi="Verdana"/>
          <w:b/>
          <w:bCs/>
          <w:sz w:val="20"/>
          <w:szCs w:val="20"/>
        </w:rPr>
        <w:t>l</w:t>
      </w:r>
      <w:r w:rsidRPr="00CA27F2">
        <w:rPr>
          <w:rFonts w:ascii="Verdana" w:hAnsi="Verdana"/>
          <w:b/>
          <w:bCs/>
          <w:sz w:val="20"/>
          <w:szCs w:val="20"/>
        </w:rPr>
        <w:t>iquidez (RL)</w:t>
      </w:r>
    </w:p>
    <w:p w14:paraId="661C4960" w14:textId="77777777" w:rsidR="00CA27F2" w:rsidRDefault="00CA27F2" w:rsidP="003E631A">
      <w:pPr>
        <w:spacing w:after="0"/>
        <w:rPr>
          <w:rFonts w:ascii="Verdana" w:hAnsi="Verdana"/>
          <w:sz w:val="20"/>
          <w:szCs w:val="20"/>
        </w:rPr>
      </w:pPr>
    </w:p>
    <w:p w14:paraId="635436C4" w14:textId="359ABE87" w:rsidR="003E631A" w:rsidRPr="000E0B7B" w:rsidRDefault="003E631A" w:rsidP="003E631A">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24</w:t>
      </w:r>
      <w:r w:rsidRPr="000E0B7B">
        <w:rPr>
          <w:rFonts w:ascii="Verdana" w:hAnsi="Verdana"/>
          <w:sz w:val="20"/>
          <w:szCs w:val="20"/>
        </w:rPr>
        <w:t>.</w:t>
      </w:r>
    </w:p>
    <w:p w14:paraId="02907EF7" w14:textId="2589C279"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Es el máximo requerimiento de liquidez que la entidad tendría que solventar en un día, y equivale al máximo retiro neto probable calculado a la fecha de corte multiplicado por el valor neto del FIC a la fecha de corte.</w:t>
      </w:r>
    </w:p>
    <w:p w14:paraId="7C638AFD" w14:textId="77777777" w:rsidR="00D65BA0" w:rsidRPr="00964B84" w:rsidRDefault="00D65BA0" w:rsidP="00D65BA0">
      <w:pPr>
        <w:pStyle w:val="Normal9pt"/>
        <w:numPr>
          <w:ilvl w:val="0"/>
          <w:numId w:val="0"/>
        </w:numPr>
        <w:rPr>
          <w:rFonts w:ascii="Verdana" w:hAnsi="Verdana"/>
          <w:i/>
          <w:sz w:val="20"/>
          <w:szCs w:val="20"/>
        </w:rPr>
      </w:pPr>
    </w:p>
    <w:p w14:paraId="29892F73" w14:textId="0FE11FBD" w:rsidR="00D65BA0" w:rsidRPr="00964B84" w:rsidRDefault="00D65BA0" w:rsidP="00FF65AC">
      <w:pPr>
        <w:jc w:val="both"/>
        <w:rPr>
          <w:rFonts w:ascii="Verdana" w:hAnsi="Verdana"/>
          <w:i/>
          <w:sz w:val="20"/>
          <w:szCs w:val="20"/>
        </w:rPr>
      </w:pPr>
      <w:r w:rsidRPr="00FF2D18">
        <w:rPr>
          <w:rFonts w:ascii="Verdana" w:hAnsi="Verdana"/>
          <w:b/>
          <w:bCs/>
          <w:sz w:val="20"/>
          <w:szCs w:val="20"/>
        </w:rPr>
        <w:t xml:space="preserve">Niveles </w:t>
      </w:r>
      <w:r w:rsidR="00F64AC7">
        <w:rPr>
          <w:rFonts w:ascii="Verdana" w:hAnsi="Verdana"/>
          <w:b/>
          <w:bCs/>
          <w:sz w:val="20"/>
          <w:szCs w:val="20"/>
        </w:rPr>
        <w:t>m</w:t>
      </w:r>
      <w:r w:rsidRPr="00FF2D18">
        <w:rPr>
          <w:rFonts w:ascii="Verdana" w:hAnsi="Verdana"/>
          <w:b/>
          <w:bCs/>
          <w:sz w:val="20"/>
          <w:szCs w:val="20"/>
        </w:rPr>
        <w:t xml:space="preserve">ínimos de </w:t>
      </w:r>
      <w:r w:rsidR="00F64AC7">
        <w:rPr>
          <w:rFonts w:ascii="Verdana" w:hAnsi="Verdana"/>
          <w:b/>
          <w:bCs/>
          <w:sz w:val="20"/>
          <w:szCs w:val="20"/>
        </w:rPr>
        <w:t>l</w:t>
      </w:r>
      <w:r w:rsidRPr="00FF2D18">
        <w:rPr>
          <w:rFonts w:ascii="Verdana" w:hAnsi="Verdana"/>
          <w:b/>
          <w:bCs/>
          <w:sz w:val="20"/>
          <w:szCs w:val="20"/>
        </w:rPr>
        <w:t xml:space="preserve">iquidez </w:t>
      </w:r>
      <w:r w:rsidR="00F64AC7">
        <w:rPr>
          <w:rFonts w:ascii="Verdana" w:hAnsi="Verdana"/>
          <w:b/>
          <w:bCs/>
          <w:sz w:val="20"/>
          <w:szCs w:val="20"/>
        </w:rPr>
        <w:t>r</w:t>
      </w:r>
      <w:r w:rsidRPr="00FF2D18">
        <w:rPr>
          <w:rFonts w:ascii="Verdana" w:hAnsi="Verdana"/>
          <w:b/>
          <w:bCs/>
          <w:sz w:val="20"/>
          <w:szCs w:val="20"/>
        </w:rPr>
        <w:t>equeridos para los FIC abiertos sin pacto de permanencia</w:t>
      </w:r>
    </w:p>
    <w:p w14:paraId="4D138DF8" w14:textId="72B437D2" w:rsidR="00AD387F" w:rsidRPr="000E0B7B" w:rsidRDefault="00AD387F" w:rsidP="00AD387F">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25</w:t>
      </w:r>
      <w:r w:rsidRPr="000E0B7B">
        <w:rPr>
          <w:rFonts w:ascii="Verdana" w:hAnsi="Verdana"/>
          <w:sz w:val="20"/>
          <w:szCs w:val="20"/>
        </w:rPr>
        <w:t>.</w:t>
      </w:r>
    </w:p>
    <w:p w14:paraId="0EEE131E" w14:textId="19B305C2"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 xml:space="preserve">Para una apropiada gestión del </w:t>
      </w:r>
      <w:r w:rsidR="002167E5">
        <w:rPr>
          <w:rFonts w:ascii="Verdana" w:hAnsi="Verdana"/>
          <w:sz w:val="20"/>
          <w:szCs w:val="20"/>
        </w:rPr>
        <w:t>r</w:t>
      </w:r>
      <w:r w:rsidRPr="00964B84">
        <w:rPr>
          <w:rFonts w:ascii="Verdana" w:hAnsi="Verdana"/>
          <w:sz w:val="20"/>
          <w:szCs w:val="20"/>
        </w:rPr>
        <w:t xml:space="preserve">iesgo de </w:t>
      </w:r>
      <w:r w:rsidR="002167E5">
        <w:rPr>
          <w:rFonts w:ascii="Verdana" w:hAnsi="Verdana"/>
          <w:sz w:val="20"/>
          <w:szCs w:val="20"/>
        </w:rPr>
        <w:t>l</w:t>
      </w:r>
      <w:r w:rsidRPr="00964B84">
        <w:rPr>
          <w:rFonts w:ascii="Verdana" w:hAnsi="Verdana"/>
          <w:sz w:val="20"/>
          <w:szCs w:val="20"/>
        </w:rPr>
        <w:t xml:space="preserve">iquidez los FIC deben contar con niveles adecuados de activos líquidos para atender sus requerimientos de liquidez. Para tal fin las entidades deben respecto de los FIC abiertos sin pacto de permanencia, dar </w:t>
      </w:r>
      <w:r w:rsidRPr="00964B84">
        <w:rPr>
          <w:rFonts w:ascii="Verdana" w:hAnsi="Verdana"/>
          <w:sz w:val="20"/>
          <w:szCs w:val="20"/>
        </w:rPr>
        <w:lastRenderedPageBreak/>
        <w:t xml:space="preserve">cumplimiento a los siguientes límites de liquidez, de acuerdo con las categorías de FIC establecidas </w:t>
      </w:r>
      <w:r w:rsidR="002F2FA1">
        <w:rPr>
          <w:rFonts w:ascii="Verdana" w:hAnsi="Verdana"/>
          <w:sz w:val="20"/>
          <w:szCs w:val="20"/>
        </w:rPr>
        <w:t xml:space="preserve">entre los párrafos </w:t>
      </w:r>
      <w:r w:rsidR="001B112C">
        <w:rPr>
          <w:rFonts w:ascii="Verdana" w:hAnsi="Verdana"/>
          <w:sz w:val="20"/>
          <w:szCs w:val="20"/>
        </w:rPr>
        <w:t>1.1.A11.5. y 1.1.A11.9.</w:t>
      </w:r>
    </w:p>
    <w:p w14:paraId="5E600C2F" w14:textId="77777777" w:rsidR="00D65BA0" w:rsidRPr="00964B84" w:rsidRDefault="00D65BA0" w:rsidP="00D65BA0">
      <w:pPr>
        <w:pStyle w:val="Normal9pt"/>
        <w:numPr>
          <w:ilvl w:val="0"/>
          <w:numId w:val="0"/>
        </w:numPr>
        <w:rPr>
          <w:rFonts w:ascii="Verdana" w:hAnsi="Verdana"/>
          <w:i/>
          <w:sz w:val="20"/>
          <w:szCs w:val="20"/>
        </w:rPr>
      </w:pPr>
    </w:p>
    <w:p w14:paraId="6E71A869" w14:textId="5D38CDDA" w:rsidR="00191CD2" w:rsidRPr="000E0B7B" w:rsidRDefault="00191CD2" w:rsidP="00191CD2">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26</w:t>
      </w:r>
      <w:r w:rsidRPr="000E0B7B">
        <w:rPr>
          <w:rFonts w:ascii="Verdana" w:hAnsi="Verdana"/>
          <w:sz w:val="20"/>
          <w:szCs w:val="20"/>
        </w:rPr>
        <w:t>.</w:t>
      </w:r>
    </w:p>
    <w:p w14:paraId="25C0604F" w14:textId="24523106" w:rsidR="00D65BA0" w:rsidRPr="00964B84" w:rsidRDefault="00D65BA0" w:rsidP="00D65BA0">
      <w:pPr>
        <w:pStyle w:val="Normal9pt"/>
        <w:numPr>
          <w:ilvl w:val="0"/>
          <w:numId w:val="0"/>
        </w:numPr>
        <w:rPr>
          <w:rFonts w:ascii="Verdana" w:hAnsi="Verdana"/>
          <w:sz w:val="20"/>
          <w:szCs w:val="20"/>
        </w:rPr>
      </w:pPr>
      <w:r w:rsidRPr="00964B84">
        <w:rPr>
          <w:rFonts w:ascii="Verdana" w:hAnsi="Verdana"/>
          <w:sz w:val="20"/>
          <w:szCs w:val="20"/>
        </w:rPr>
        <w:t>Respecto de los FIC Monetario se debe mantener:</w:t>
      </w:r>
    </w:p>
    <w:p w14:paraId="603B8C7E" w14:textId="77777777" w:rsidR="00D65BA0" w:rsidRPr="00964B84" w:rsidRDefault="00D65BA0" w:rsidP="00D65BA0">
      <w:pPr>
        <w:pStyle w:val="Normal9pt"/>
        <w:numPr>
          <w:ilvl w:val="0"/>
          <w:numId w:val="0"/>
        </w:numPr>
        <w:rPr>
          <w:rFonts w:ascii="Verdana" w:hAnsi="Verdana"/>
          <w:i/>
          <w:sz w:val="20"/>
          <w:szCs w:val="20"/>
        </w:rPr>
      </w:pPr>
    </w:p>
    <w:p w14:paraId="678996C9" w14:textId="64C20E9E" w:rsidR="00D65BA0" w:rsidRPr="00964B84" w:rsidRDefault="00D65BA0" w:rsidP="005F3CA8">
      <w:pPr>
        <w:pStyle w:val="Normal9pt"/>
        <w:numPr>
          <w:ilvl w:val="0"/>
          <w:numId w:val="9"/>
        </w:numPr>
        <w:ind w:left="567" w:hanging="567"/>
        <w:rPr>
          <w:rFonts w:ascii="Verdana" w:hAnsi="Verdana"/>
          <w:i/>
          <w:sz w:val="20"/>
          <w:szCs w:val="20"/>
        </w:rPr>
      </w:pPr>
      <w:r w:rsidRPr="00964B84">
        <w:rPr>
          <w:rFonts w:ascii="Verdana" w:hAnsi="Verdana"/>
          <w:sz w:val="20"/>
          <w:szCs w:val="20"/>
        </w:rPr>
        <w:t xml:space="preserve">Al menos 5% del valor neto del FIC en </w:t>
      </w:r>
      <w:r w:rsidR="008F742C">
        <w:rPr>
          <w:rFonts w:ascii="Verdana" w:hAnsi="Verdana"/>
          <w:sz w:val="20"/>
          <w:szCs w:val="20"/>
        </w:rPr>
        <w:t>e</w:t>
      </w:r>
      <w:r w:rsidRPr="00964B84">
        <w:rPr>
          <w:rFonts w:ascii="Verdana" w:hAnsi="Verdana"/>
          <w:sz w:val="20"/>
          <w:szCs w:val="20"/>
        </w:rPr>
        <w:t>fectivo.</w:t>
      </w:r>
    </w:p>
    <w:p w14:paraId="246A9522" w14:textId="77777777" w:rsidR="00D65BA0" w:rsidRPr="00964B84" w:rsidRDefault="00D65BA0" w:rsidP="00CE134C">
      <w:pPr>
        <w:pStyle w:val="Normal9pt"/>
        <w:numPr>
          <w:ilvl w:val="0"/>
          <w:numId w:val="0"/>
        </w:numPr>
        <w:ind w:left="567" w:hanging="567"/>
        <w:rPr>
          <w:rFonts w:ascii="Verdana" w:hAnsi="Verdana"/>
          <w:i/>
          <w:sz w:val="20"/>
          <w:szCs w:val="20"/>
        </w:rPr>
      </w:pPr>
    </w:p>
    <w:p w14:paraId="27E7F359" w14:textId="05F0BF9F" w:rsidR="00D65BA0" w:rsidRPr="00964B84" w:rsidRDefault="00D65BA0" w:rsidP="005F3CA8">
      <w:pPr>
        <w:pStyle w:val="Normal9pt"/>
        <w:numPr>
          <w:ilvl w:val="0"/>
          <w:numId w:val="9"/>
        </w:numPr>
        <w:ind w:left="567" w:hanging="567"/>
        <w:rPr>
          <w:rFonts w:ascii="Verdana" w:hAnsi="Verdana"/>
          <w:i/>
          <w:sz w:val="20"/>
          <w:szCs w:val="20"/>
        </w:rPr>
      </w:pPr>
      <w:r w:rsidRPr="00964B84">
        <w:rPr>
          <w:rFonts w:ascii="Verdana" w:hAnsi="Verdana"/>
          <w:sz w:val="20"/>
          <w:szCs w:val="20"/>
        </w:rPr>
        <w:t xml:space="preserve">Al menos 10% del valor neto del FIC en </w:t>
      </w:r>
      <w:r w:rsidR="008F742C">
        <w:rPr>
          <w:rFonts w:ascii="Verdana" w:hAnsi="Verdana"/>
          <w:sz w:val="20"/>
          <w:szCs w:val="20"/>
        </w:rPr>
        <w:t>r</w:t>
      </w:r>
      <w:r w:rsidRPr="00964B84">
        <w:rPr>
          <w:rFonts w:ascii="Verdana" w:hAnsi="Verdana"/>
          <w:sz w:val="20"/>
          <w:szCs w:val="20"/>
        </w:rPr>
        <w:t xml:space="preserve">ecursos </w:t>
      </w:r>
      <w:r w:rsidR="008F742C">
        <w:rPr>
          <w:rFonts w:ascii="Verdana" w:hAnsi="Verdana"/>
          <w:sz w:val="20"/>
          <w:szCs w:val="20"/>
        </w:rPr>
        <w:t>l</w:t>
      </w:r>
      <w:r w:rsidRPr="00964B84">
        <w:rPr>
          <w:rFonts w:ascii="Verdana" w:hAnsi="Verdana"/>
          <w:sz w:val="20"/>
          <w:szCs w:val="20"/>
        </w:rPr>
        <w:t>íquidos.</w:t>
      </w:r>
    </w:p>
    <w:p w14:paraId="086F6771" w14:textId="77777777" w:rsidR="00D65BA0" w:rsidRPr="00964B84" w:rsidRDefault="00D65BA0" w:rsidP="00CE134C">
      <w:pPr>
        <w:pStyle w:val="Normal9pt"/>
        <w:numPr>
          <w:ilvl w:val="0"/>
          <w:numId w:val="0"/>
        </w:numPr>
        <w:ind w:left="567" w:hanging="567"/>
        <w:rPr>
          <w:rFonts w:ascii="Verdana" w:hAnsi="Verdana"/>
          <w:i/>
          <w:sz w:val="20"/>
          <w:szCs w:val="20"/>
        </w:rPr>
      </w:pPr>
    </w:p>
    <w:p w14:paraId="34DFFFD1" w14:textId="40495430" w:rsidR="00D65BA0" w:rsidRPr="00964B84" w:rsidRDefault="00D65BA0" w:rsidP="005F3CA8">
      <w:pPr>
        <w:pStyle w:val="Normal9pt"/>
        <w:numPr>
          <w:ilvl w:val="0"/>
          <w:numId w:val="9"/>
        </w:numPr>
        <w:ind w:left="567" w:hanging="567"/>
        <w:rPr>
          <w:rFonts w:ascii="Verdana" w:hAnsi="Verdana"/>
          <w:i/>
          <w:sz w:val="20"/>
          <w:szCs w:val="20"/>
        </w:rPr>
      </w:pPr>
      <w:r w:rsidRPr="00964B84">
        <w:rPr>
          <w:rFonts w:ascii="Verdana" w:hAnsi="Verdana"/>
          <w:sz w:val="20"/>
          <w:szCs w:val="20"/>
        </w:rPr>
        <w:t xml:space="preserve">Al menos 25% del valor neto del FIC en </w:t>
      </w:r>
      <w:r w:rsidRPr="008F742C">
        <w:rPr>
          <w:rFonts w:ascii="Verdana" w:hAnsi="Verdana"/>
          <w:sz w:val="20"/>
          <w:szCs w:val="20"/>
        </w:rPr>
        <w:t>los activos que hacen parte de la liquidez a 30 días</w:t>
      </w:r>
      <w:r w:rsidR="008F742C" w:rsidRPr="008F742C">
        <w:rPr>
          <w:rFonts w:ascii="Verdana" w:hAnsi="Verdana"/>
          <w:sz w:val="20"/>
          <w:szCs w:val="20"/>
        </w:rPr>
        <w:t>, de acuerdo con la definición de los párrafos 1.1.A11.</w:t>
      </w:r>
      <w:r w:rsidR="007F6230">
        <w:rPr>
          <w:rFonts w:ascii="Verdana" w:hAnsi="Verdana"/>
          <w:sz w:val="20"/>
          <w:szCs w:val="20"/>
        </w:rPr>
        <w:t>14</w:t>
      </w:r>
      <w:r w:rsidR="008F742C" w:rsidRPr="008F742C">
        <w:rPr>
          <w:rFonts w:ascii="Verdana" w:hAnsi="Verdana"/>
          <w:sz w:val="20"/>
          <w:szCs w:val="20"/>
        </w:rPr>
        <w:t xml:space="preserve">. </w:t>
      </w:r>
      <w:r w:rsidR="007F6230">
        <w:rPr>
          <w:rFonts w:ascii="Verdana" w:hAnsi="Verdana"/>
          <w:sz w:val="20"/>
          <w:szCs w:val="20"/>
        </w:rPr>
        <w:t>y</w:t>
      </w:r>
      <w:r w:rsidR="008F742C" w:rsidRPr="008F742C">
        <w:rPr>
          <w:rFonts w:ascii="Verdana" w:hAnsi="Verdana"/>
          <w:sz w:val="20"/>
          <w:szCs w:val="20"/>
        </w:rPr>
        <w:t xml:space="preserve"> 1.1.A11.</w:t>
      </w:r>
      <w:r w:rsidR="007F6230">
        <w:rPr>
          <w:rFonts w:ascii="Verdana" w:hAnsi="Verdana"/>
          <w:sz w:val="20"/>
          <w:szCs w:val="20"/>
        </w:rPr>
        <w:t>15</w:t>
      </w:r>
      <w:r w:rsidRPr="008F742C">
        <w:rPr>
          <w:rFonts w:ascii="Verdana" w:hAnsi="Verdana"/>
          <w:sz w:val="20"/>
          <w:szCs w:val="20"/>
        </w:rPr>
        <w:t>.</w:t>
      </w:r>
    </w:p>
    <w:p w14:paraId="1065BD62" w14:textId="77777777" w:rsidR="00D65BA0" w:rsidRPr="00964B84" w:rsidRDefault="00D65BA0" w:rsidP="00CE134C">
      <w:pPr>
        <w:pStyle w:val="Normal9pt"/>
        <w:numPr>
          <w:ilvl w:val="0"/>
          <w:numId w:val="0"/>
        </w:numPr>
        <w:ind w:left="567" w:hanging="567"/>
        <w:rPr>
          <w:rFonts w:ascii="Verdana" w:hAnsi="Verdana"/>
          <w:i/>
          <w:sz w:val="20"/>
          <w:szCs w:val="20"/>
        </w:rPr>
      </w:pPr>
    </w:p>
    <w:p w14:paraId="00E9F41B" w14:textId="3145A36D" w:rsidR="00857846" w:rsidRPr="000E0B7B" w:rsidRDefault="00857846" w:rsidP="00857846">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27</w:t>
      </w:r>
      <w:r w:rsidRPr="000E0B7B">
        <w:rPr>
          <w:rFonts w:ascii="Verdana" w:hAnsi="Verdana"/>
          <w:sz w:val="20"/>
          <w:szCs w:val="20"/>
        </w:rPr>
        <w:t>.</w:t>
      </w:r>
    </w:p>
    <w:p w14:paraId="2A1F24E1" w14:textId="1A791D91"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 xml:space="preserve">Los FIC en </w:t>
      </w:r>
      <w:r w:rsidR="00EE31F5">
        <w:rPr>
          <w:rFonts w:ascii="Verdana" w:hAnsi="Verdana"/>
          <w:sz w:val="20"/>
          <w:szCs w:val="20"/>
        </w:rPr>
        <w:t>r</w:t>
      </w:r>
      <w:r w:rsidRPr="00964B84">
        <w:rPr>
          <w:rFonts w:ascii="Verdana" w:hAnsi="Verdana"/>
          <w:sz w:val="20"/>
          <w:szCs w:val="20"/>
        </w:rPr>
        <w:t xml:space="preserve">enta </w:t>
      </w:r>
      <w:r w:rsidR="00EE31F5">
        <w:rPr>
          <w:rFonts w:ascii="Verdana" w:hAnsi="Verdana"/>
          <w:sz w:val="20"/>
          <w:szCs w:val="20"/>
        </w:rPr>
        <w:t>f</w:t>
      </w:r>
      <w:r w:rsidRPr="00964B84">
        <w:rPr>
          <w:rFonts w:ascii="Verdana" w:hAnsi="Verdana"/>
          <w:sz w:val="20"/>
          <w:szCs w:val="20"/>
        </w:rPr>
        <w:t xml:space="preserve">ija o </w:t>
      </w:r>
      <w:r w:rsidR="00EE31F5">
        <w:rPr>
          <w:rFonts w:ascii="Verdana" w:hAnsi="Verdana"/>
          <w:sz w:val="20"/>
          <w:szCs w:val="20"/>
        </w:rPr>
        <w:t>b</w:t>
      </w:r>
      <w:r w:rsidRPr="00964B84">
        <w:rPr>
          <w:rFonts w:ascii="Verdana" w:hAnsi="Verdana"/>
          <w:sz w:val="20"/>
          <w:szCs w:val="20"/>
        </w:rPr>
        <w:t xml:space="preserve">alanceados deben mantener un mínimo de 5% del valor neto del FIC en </w:t>
      </w:r>
      <w:r w:rsidR="00EE31F5">
        <w:rPr>
          <w:rFonts w:ascii="Verdana" w:hAnsi="Verdana"/>
          <w:sz w:val="20"/>
          <w:szCs w:val="20"/>
        </w:rPr>
        <w:t>r</w:t>
      </w:r>
      <w:r w:rsidRPr="00964B84">
        <w:rPr>
          <w:rFonts w:ascii="Verdana" w:hAnsi="Verdana"/>
          <w:sz w:val="20"/>
          <w:szCs w:val="20"/>
        </w:rPr>
        <w:t xml:space="preserve">ecursos </w:t>
      </w:r>
      <w:r w:rsidR="00EE31F5">
        <w:rPr>
          <w:rFonts w:ascii="Verdana" w:hAnsi="Verdana"/>
          <w:sz w:val="20"/>
          <w:szCs w:val="20"/>
        </w:rPr>
        <w:t>l</w:t>
      </w:r>
      <w:r w:rsidRPr="00964B84">
        <w:rPr>
          <w:rFonts w:ascii="Verdana" w:hAnsi="Verdana"/>
          <w:sz w:val="20"/>
          <w:szCs w:val="20"/>
        </w:rPr>
        <w:t>íquidos.</w:t>
      </w:r>
    </w:p>
    <w:p w14:paraId="674A64A0" w14:textId="77777777" w:rsidR="00FF65AC" w:rsidRDefault="00FF65AC" w:rsidP="00857846">
      <w:pPr>
        <w:spacing w:after="0"/>
        <w:rPr>
          <w:rFonts w:ascii="Verdana" w:hAnsi="Verdana"/>
          <w:sz w:val="20"/>
          <w:szCs w:val="20"/>
        </w:rPr>
      </w:pPr>
    </w:p>
    <w:p w14:paraId="1A7C3CE8" w14:textId="55F8D715" w:rsidR="00857846" w:rsidRPr="000E0B7B" w:rsidRDefault="00857846" w:rsidP="00857846">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28</w:t>
      </w:r>
      <w:r w:rsidRPr="000E0B7B">
        <w:rPr>
          <w:rFonts w:ascii="Verdana" w:hAnsi="Verdana"/>
          <w:sz w:val="20"/>
          <w:szCs w:val="20"/>
        </w:rPr>
        <w:t>.</w:t>
      </w:r>
    </w:p>
    <w:p w14:paraId="5016B663" w14:textId="7720E572"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Los FIC en Renta Variable deben mantener un mínimo de 3% del valor neto del FIC en Recursos Líquidos.</w:t>
      </w:r>
    </w:p>
    <w:p w14:paraId="125FCB1C" w14:textId="77777777" w:rsidR="00D65BA0" w:rsidRPr="00964B84" w:rsidRDefault="00D65BA0" w:rsidP="00D65BA0">
      <w:pPr>
        <w:pStyle w:val="Normal9pt"/>
        <w:numPr>
          <w:ilvl w:val="0"/>
          <w:numId w:val="0"/>
        </w:numPr>
        <w:rPr>
          <w:rFonts w:ascii="Verdana" w:hAnsi="Verdana"/>
          <w:i/>
          <w:sz w:val="20"/>
          <w:szCs w:val="20"/>
        </w:rPr>
      </w:pPr>
    </w:p>
    <w:p w14:paraId="74A9870E" w14:textId="4D2C6F5A" w:rsidR="00DB32FB" w:rsidRPr="000E0B7B" w:rsidRDefault="00DB32FB" w:rsidP="00DB32FB">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29</w:t>
      </w:r>
      <w:r w:rsidRPr="000E0B7B">
        <w:rPr>
          <w:rFonts w:ascii="Verdana" w:hAnsi="Verdana"/>
          <w:sz w:val="20"/>
          <w:szCs w:val="20"/>
        </w:rPr>
        <w:t>.</w:t>
      </w:r>
    </w:p>
    <w:p w14:paraId="7FFFAE29" w14:textId="1CCF11DD"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 xml:space="preserve">Todos los FIC abiertos sin pacto de permanencia deben mantener un nivel de ALAC al </w:t>
      </w:r>
      <w:r w:rsidRPr="00D60D27">
        <w:rPr>
          <w:rFonts w:ascii="Verdana" w:hAnsi="Verdana"/>
          <w:sz w:val="20"/>
          <w:szCs w:val="20"/>
        </w:rPr>
        <w:t xml:space="preserve">menos igual al 10% del valor neto del FIC. En el caso en el que el </w:t>
      </w:r>
      <w:r w:rsidR="0059439C">
        <w:rPr>
          <w:rFonts w:ascii="Verdana" w:hAnsi="Verdana"/>
          <w:sz w:val="20"/>
          <w:szCs w:val="20"/>
        </w:rPr>
        <w:t>m</w:t>
      </w:r>
      <w:r w:rsidRPr="00D60D27">
        <w:rPr>
          <w:rFonts w:ascii="Verdana" w:hAnsi="Verdana"/>
          <w:sz w:val="20"/>
          <w:szCs w:val="20"/>
        </w:rPr>
        <w:t xml:space="preserve">áximo </w:t>
      </w:r>
      <w:r w:rsidR="0059439C">
        <w:rPr>
          <w:rFonts w:ascii="Verdana" w:hAnsi="Verdana"/>
          <w:sz w:val="20"/>
          <w:szCs w:val="20"/>
        </w:rPr>
        <w:t>r</w:t>
      </w:r>
      <w:r w:rsidRPr="00D60D27">
        <w:rPr>
          <w:rFonts w:ascii="Verdana" w:hAnsi="Verdana"/>
          <w:sz w:val="20"/>
          <w:szCs w:val="20"/>
        </w:rPr>
        <w:t>etiro neto probable definido en</w:t>
      </w:r>
      <w:r w:rsidR="00D60D27" w:rsidRPr="00D60D27">
        <w:rPr>
          <w:rFonts w:ascii="Verdana" w:hAnsi="Verdana"/>
          <w:sz w:val="20"/>
          <w:szCs w:val="20"/>
        </w:rPr>
        <w:t>tre los párrafos 1.1.A11.21. y 1.1.A11.24.</w:t>
      </w:r>
      <w:r w:rsidRPr="00D60D27">
        <w:rPr>
          <w:rFonts w:ascii="Verdana" w:hAnsi="Verdana"/>
          <w:sz w:val="20"/>
          <w:szCs w:val="20"/>
        </w:rPr>
        <w:t xml:space="preserve"> sea superior a 10%, deben mantener un nivel de ALAC al menos igual al requerimiento de liquidez definido en </w:t>
      </w:r>
      <w:r w:rsidR="00940B29">
        <w:rPr>
          <w:rFonts w:ascii="Verdana" w:hAnsi="Verdana"/>
          <w:sz w:val="20"/>
          <w:szCs w:val="20"/>
        </w:rPr>
        <w:t xml:space="preserve">los mencionados párrafos del presente anexo. </w:t>
      </w:r>
    </w:p>
    <w:p w14:paraId="0374AF60" w14:textId="77777777" w:rsidR="00FF65AC" w:rsidRDefault="00FF65AC" w:rsidP="00375F63">
      <w:pPr>
        <w:spacing w:after="0"/>
        <w:rPr>
          <w:rFonts w:ascii="Verdana" w:hAnsi="Verdana"/>
          <w:sz w:val="20"/>
          <w:szCs w:val="20"/>
        </w:rPr>
      </w:pPr>
    </w:p>
    <w:p w14:paraId="12CAD47C" w14:textId="6842168A" w:rsidR="00375F63" w:rsidRPr="000E0B7B" w:rsidRDefault="00375F63" w:rsidP="00375F63">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30</w:t>
      </w:r>
      <w:r w:rsidRPr="000E0B7B">
        <w:rPr>
          <w:rFonts w:ascii="Verdana" w:hAnsi="Verdana"/>
          <w:sz w:val="20"/>
          <w:szCs w:val="20"/>
        </w:rPr>
        <w:t>.</w:t>
      </w:r>
    </w:p>
    <w:p w14:paraId="2E7DCC77" w14:textId="6862C31C"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Para el adecuado monitoreo del presente límite las entidades deben calcular para cada FIC abierto sin pacto de permanencia el Indicador de Riesgo de Liquidez (IRL) definido como la razón entre los activos líquidos de alta calidad y el valor máximo entre el requerimiento de liquidez y el 10% del valor neto del FIC. El IRL debe ser superior a 1 (100%).</w:t>
      </w:r>
    </w:p>
    <w:p w14:paraId="2B19C5FA" w14:textId="4F446204" w:rsidR="00D65BA0" w:rsidRPr="00964B84" w:rsidRDefault="00D65BA0" w:rsidP="00D65BA0">
      <w:pPr>
        <w:pStyle w:val="Normal9pt"/>
        <w:numPr>
          <w:ilvl w:val="0"/>
          <w:numId w:val="0"/>
        </w:numPr>
        <w:jc w:val="center"/>
        <w:rPr>
          <w:rFonts w:ascii="Verdana" w:hAnsi="Verdana"/>
          <w:i/>
          <w:sz w:val="20"/>
          <w:szCs w:val="20"/>
        </w:rPr>
      </w:pPr>
      <m:oMathPara>
        <m:oMath>
          <m:r>
            <w:rPr>
              <w:rFonts w:ascii="Cambria Math" w:hAnsi="Cambria Math"/>
              <w:sz w:val="20"/>
              <w:szCs w:val="20"/>
            </w:rPr>
            <m:t>IRL =</m:t>
          </m:r>
          <m:f>
            <m:fPr>
              <m:ctrlPr>
                <w:rPr>
                  <w:rFonts w:ascii="Cambria Math" w:hAnsi="Cambria Math"/>
                  <w:i/>
                  <w:sz w:val="20"/>
                  <w:szCs w:val="20"/>
                </w:rPr>
              </m:ctrlPr>
            </m:fPr>
            <m:num>
              <m:r>
                <w:rPr>
                  <w:rFonts w:ascii="Cambria Math" w:hAnsi="Cambria Math"/>
                  <w:sz w:val="20"/>
                  <w:szCs w:val="20"/>
                </w:rPr>
                <m:t>ALAC</m:t>
              </m:r>
            </m:num>
            <m:den>
              <m:r>
                <w:rPr>
                  <w:rFonts w:ascii="Cambria Math" w:hAnsi="Cambria Math"/>
                  <w:sz w:val="20"/>
                  <w:szCs w:val="20"/>
                </w:rPr>
                <m:t>max( RL ; 10% del valor neto del FIC)</m:t>
              </m:r>
            </m:den>
          </m:f>
        </m:oMath>
      </m:oMathPara>
    </w:p>
    <w:p w14:paraId="16CCCC02" w14:textId="77777777" w:rsidR="00D65BA0" w:rsidRPr="00964B84" w:rsidRDefault="00D65BA0" w:rsidP="00D65BA0">
      <w:pPr>
        <w:pStyle w:val="Normal9pt"/>
        <w:numPr>
          <w:ilvl w:val="0"/>
          <w:numId w:val="0"/>
        </w:numPr>
        <w:rPr>
          <w:rFonts w:ascii="Verdana" w:hAnsi="Verdana"/>
          <w:i/>
          <w:sz w:val="20"/>
          <w:szCs w:val="20"/>
        </w:rPr>
      </w:pPr>
    </w:p>
    <w:p w14:paraId="6C0428C9" w14:textId="2DA315CF" w:rsidR="004C381D" w:rsidRPr="000E0B7B" w:rsidRDefault="004C381D" w:rsidP="004C381D">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31</w:t>
      </w:r>
      <w:r w:rsidRPr="000E0B7B">
        <w:rPr>
          <w:rFonts w:ascii="Verdana" w:hAnsi="Verdana"/>
          <w:sz w:val="20"/>
          <w:szCs w:val="20"/>
        </w:rPr>
        <w:t>.</w:t>
      </w:r>
    </w:p>
    <w:p w14:paraId="49BB2771" w14:textId="4DC724B8"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Las entidades deben reportar la información sobre los activos líquidos, el máximo retiro probable y los niveles mínimos de liquidez requeridos a partir de la información vigente al cierre de cada uno de los días hábiles de la semana anterior a través del Formato 519 (Proforma F.0000-154) o el que resulte aplicable.</w:t>
      </w:r>
    </w:p>
    <w:p w14:paraId="2BE4F52A" w14:textId="77777777" w:rsidR="00D65BA0" w:rsidRPr="00964B84" w:rsidRDefault="00D65BA0" w:rsidP="00D65BA0">
      <w:pPr>
        <w:pStyle w:val="Normal9pt"/>
        <w:numPr>
          <w:ilvl w:val="0"/>
          <w:numId w:val="0"/>
        </w:numPr>
        <w:rPr>
          <w:rFonts w:ascii="Verdana" w:hAnsi="Verdana"/>
          <w:i/>
          <w:sz w:val="20"/>
          <w:szCs w:val="20"/>
        </w:rPr>
      </w:pPr>
    </w:p>
    <w:p w14:paraId="12706709" w14:textId="2B7C5F50" w:rsidR="00D65BA0" w:rsidRPr="00964B84" w:rsidRDefault="00D65BA0" w:rsidP="00FF65AC">
      <w:pPr>
        <w:jc w:val="both"/>
        <w:rPr>
          <w:rFonts w:ascii="Verdana" w:hAnsi="Verdana"/>
          <w:i/>
          <w:sz w:val="20"/>
          <w:szCs w:val="20"/>
        </w:rPr>
      </w:pPr>
      <w:r w:rsidRPr="00FF2D18">
        <w:rPr>
          <w:rFonts w:ascii="Verdana" w:hAnsi="Verdana"/>
          <w:b/>
          <w:bCs/>
          <w:sz w:val="20"/>
          <w:szCs w:val="20"/>
        </w:rPr>
        <w:t>Requisitos de inversión para los FIC monetarios</w:t>
      </w:r>
    </w:p>
    <w:p w14:paraId="21075AF0" w14:textId="4A57D316" w:rsidR="0035024E" w:rsidRPr="000E0B7B" w:rsidRDefault="0035024E" w:rsidP="0035024E">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32</w:t>
      </w:r>
      <w:r w:rsidRPr="000E0B7B">
        <w:rPr>
          <w:rFonts w:ascii="Verdana" w:hAnsi="Verdana"/>
          <w:sz w:val="20"/>
          <w:szCs w:val="20"/>
        </w:rPr>
        <w:t>.</w:t>
      </w:r>
    </w:p>
    <w:p w14:paraId="7D2D727F" w14:textId="5BA2BE05" w:rsidR="00D65BA0" w:rsidRPr="00964B84" w:rsidRDefault="00D65BA0" w:rsidP="00D65BA0">
      <w:pPr>
        <w:pStyle w:val="Normal9pt"/>
        <w:numPr>
          <w:ilvl w:val="0"/>
          <w:numId w:val="0"/>
        </w:numPr>
        <w:rPr>
          <w:rFonts w:ascii="Verdana" w:hAnsi="Verdana"/>
          <w:i/>
          <w:sz w:val="20"/>
          <w:szCs w:val="20"/>
        </w:rPr>
      </w:pPr>
      <w:r w:rsidRPr="00964B84">
        <w:rPr>
          <w:rFonts w:ascii="Verdana" w:hAnsi="Verdana"/>
          <w:sz w:val="20"/>
          <w:szCs w:val="20"/>
        </w:rPr>
        <w:t xml:space="preserve">Para efectos de una adecuada gestión del riesgo de liquidez los FIC que se hayan clasificado como monetarios de </w:t>
      </w:r>
      <w:r w:rsidRPr="00640150">
        <w:rPr>
          <w:rFonts w:ascii="Verdana" w:hAnsi="Verdana"/>
          <w:sz w:val="20"/>
          <w:szCs w:val="20"/>
        </w:rPr>
        <w:t xml:space="preserve">acuerdo con la definición establecida </w:t>
      </w:r>
      <w:r w:rsidR="00B17975" w:rsidRPr="00640150">
        <w:rPr>
          <w:rFonts w:ascii="Verdana" w:hAnsi="Verdana"/>
          <w:sz w:val="20"/>
          <w:szCs w:val="20"/>
        </w:rPr>
        <w:t>en los párrafos 1.1.A11.</w:t>
      </w:r>
      <w:r w:rsidR="00640150" w:rsidRPr="00640150">
        <w:rPr>
          <w:rFonts w:ascii="Verdana" w:hAnsi="Verdana"/>
          <w:sz w:val="20"/>
          <w:szCs w:val="20"/>
        </w:rPr>
        <w:t>6. y 1.1.A11.7.</w:t>
      </w:r>
      <w:r w:rsidRPr="00640150">
        <w:rPr>
          <w:rFonts w:ascii="Verdana" w:hAnsi="Verdana"/>
          <w:sz w:val="20"/>
          <w:szCs w:val="20"/>
        </w:rPr>
        <w:t xml:space="preserve"> deben cumplir adicionalme</w:t>
      </w:r>
      <w:r w:rsidRPr="00964B84">
        <w:rPr>
          <w:rFonts w:ascii="Verdana" w:hAnsi="Verdana"/>
          <w:sz w:val="20"/>
          <w:szCs w:val="20"/>
        </w:rPr>
        <w:t>nte con las siguientes disposiciones:</w:t>
      </w:r>
    </w:p>
    <w:p w14:paraId="199014B1" w14:textId="77777777" w:rsidR="00FF65AC" w:rsidRDefault="00FF65AC" w:rsidP="00E56A3C">
      <w:pPr>
        <w:spacing w:after="0"/>
        <w:rPr>
          <w:rFonts w:ascii="Verdana" w:hAnsi="Verdana"/>
          <w:sz w:val="20"/>
          <w:szCs w:val="20"/>
        </w:rPr>
      </w:pPr>
    </w:p>
    <w:p w14:paraId="6D79A06C" w14:textId="77777777" w:rsidR="003E6C16" w:rsidRDefault="00D65BA0" w:rsidP="003E6C16">
      <w:pPr>
        <w:pStyle w:val="Normal9pt"/>
        <w:numPr>
          <w:ilvl w:val="0"/>
          <w:numId w:val="13"/>
        </w:numPr>
        <w:ind w:left="567" w:hanging="567"/>
        <w:rPr>
          <w:rFonts w:ascii="Verdana" w:hAnsi="Verdana"/>
          <w:sz w:val="20"/>
          <w:szCs w:val="20"/>
        </w:rPr>
      </w:pPr>
      <w:r w:rsidRPr="00964B84">
        <w:rPr>
          <w:rFonts w:ascii="Verdana" w:hAnsi="Verdana"/>
          <w:sz w:val="20"/>
          <w:szCs w:val="20"/>
        </w:rPr>
        <w:t xml:space="preserve">No contar con inversiones en acciones y/o </w:t>
      </w:r>
      <w:proofErr w:type="spellStart"/>
      <w:r w:rsidRPr="003F5B22">
        <w:rPr>
          <w:rFonts w:ascii="Verdana" w:hAnsi="Verdana"/>
          <w:i/>
          <w:iCs/>
          <w:sz w:val="20"/>
          <w:szCs w:val="20"/>
          <w:lang w:val="es-CO"/>
        </w:rPr>
        <w:t>commodities</w:t>
      </w:r>
      <w:proofErr w:type="spellEnd"/>
      <w:r w:rsidRPr="00964B84">
        <w:rPr>
          <w:rFonts w:ascii="Verdana" w:hAnsi="Verdana"/>
          <w:sz w:val="20"/>
          <w:szCs w:val="20"/>
          <w:lang w:val="es-CO"/>
        </w:rPr>
        <w:t xml:space="preserve"> </w:t>
      </w:r>
      <w:r w:rsidRPr="00964B84">
        <w:rPr>
          <w:rFonts w:ascii="Verdana" w:hAnsi="Verdana"/>
          <w:sz w:val="20"/>
          <w:szCs w:val="20"/>
        </w:rPr>
        <w:t>directa o indirectamente.</w:t>
      </w:r>
    </w:p>
    <w:p w14:paraId="125A7989" w14:textId="77777777" w:rsidR="003E6C16" w:rsidRDefault="003E6C16" w:rsidP="003E6C16">
      <w:pPr>
        <w:pStyle w:val="Normal9pt"/>
        <w:numPr>
          <w:ilvl w:val="0"/>
          <w:numId w:val="0"/>
        </w:numPr>
        <w:ind w:left="567"/>
        <w:rPr>
          <w:rFonts w:ascii="Verdana" w:hAnsi="Verdana"/>
          <w:sz w:val="20"/>
          <w:szCs w:val="20"/>
        </w:rPr>
      </w:pPr>
    </w:p>
    <w:p w14:paraId="19B52A64" w14:textId="4635A07B" w:rsidR="003E6C16" w:rsidRDefault="00D65BA0" w:rsidP="003E6C16">
      <w:pPr>
        <w:pStyle w:val="Normal9pt"/>
        <w:numPr>
          <w:ilvl w:val="0"/>
          <w:numId w:val="13"/>
        </w:numPr>
        <w:ind w:left="567" w:hanging="567"/>
        <w:rPr>
          <w:rFonts w:ascii="Verdana" w:hAnsi="Verdana"/>
          <w:sz w:val="20"/>
          <w:szCs w:val="20"/>
        </w:rPr>
      </w:pPr>
      <w:r w:rsidRPr="003E6C16">
        <w:rPr>
          <w:rFonts w:ascii="Verdana" w:hAnsi="Verdana"/>
          <w:sz w:val="20"/>
          <w:szCs w:val="20"/>
        </w:rPr>
        <w:t>El plazo promedio ponderado en días al vencimiento del portafolio, incluido el efectivo, no debe exceder los 365 días.</w:t>
      </w:r>
    </w:p>
    <w:p w14:paraId="09826FF2" w14:textId="77777777" w:rsidR="003E6C16" w:rsidRPr="003E6C16" w:rsidRDefault="003E6C16" w:rsidP="003E6C16">
      <w:pPr>
        <w:pStyle w:val="Normal9pt"/>
        <w:numPr>
          <w:ilvl w:val="0"/>
          <w:numId w:val="0"/>
        </w:numPr>
        <w:ind w:left="567"/>
        <w:rPr>
          <w:rFonts w:ascii="Verdana" w:hAnsi="Verdana"/>
          <w:sz w:val="20"/>
          <w:szCs w:val="20"/>
        </w:rPr>
      </w:pPr>
    </w:p>
    <w:p w14:paraId="2E1F6A8C" w14:textId="24988065" w:rsidR="003E6C16" w:rsidRDefault="00D65BA0" w:rsidP="003E6C16">
      <w:pPr>
        <w:pStyle w:val="Normal9pt"/>
        <w:numPr>
          <w:ilvl w:val="0"/>
          <w:numId w:val="13"/>
        </w:numPr>
        <w:ind w:left="567" w:hanging="567"/>
        <w:rPr>
          <w:rFonts w:ascii="Verdana" w:hAnsi="Verdana"/>
          <w:sz w:val="20"/>
          <w:szCs w:val="20"/>
        </w:rPr>
      </w:pPr>
      <w:r w:rsidRPr="003E6C16">
        <w:rPr>
          <w:rFonts w:ascii="Verdana" w:hAnsi="Verdana"/>
          <w:sz w:val="20"/>
          <w:szCs w:val="20"/>
        </w:rPr>
        <w:t>La exposición (posición no cubierta) en moneda extranjera no debe exceder el 5% del valor neto del FIC.</w:t>
      </w:r>
    </w:p>
    <w:p w14:paraId="567B3E06" w14:textId="77777777" w:rsidR="003E6C16" w:rsidRDefault="003E6C16" w:rsidP="003E6C16">
      <w:pPr>
        <w:pStyle w:val="Normal9pt"/>
        <w:numPr>
          <w:ilvl w:val="0"/>
          <w:numId w:val="0"/>
        </w:numPr>
        <w:ind w:left="567"/>
        <w:rPr>
          <w:rFonts w:ascii="Verdana" w:hAnsi="Verdana"/>
          <w:sz w:val="20"/>
          <w:szCs w:val="20"/>
        </w:rPr>
      </w:pPr>
    </w:p>
    <w:p w14:paraId="6462208D" w14:textId="1E244B25" w:rsidR="00D426B4" w:rsidRDefault="00D65BA0" w:rsidP="003E6C16">
      <w:pPr>
        <w:pStyle w:val="Normal9pt"/>
        <w:numPr>
          <w:ilvl w:val="0"/>
          <w:numId w:val="13"/>
        </w:numPr>
        <w:ind w:left="567" w:hanging="567"/>
        <w:rPr>
          <w:rFonts w:ascii="Verdana" w:hAnsi="Verdana"/>
          <w:sz w:val="20"/>
          <w:szCs w:val="20"/>
        </w:rPr>
      </w:pPr>
      <w:r w:rsidRPr="003E6C16">
        <w:rPr>
          <w:rFonts w:ascii="Verdana" w:hAnsi="Verdana"/>
          <w:sz w:val="20"/>
          <w:szCs w:val="20"/>
        </w:rPr>
        <w:t>Realizar operaciones en instrumentos derivados de inversión o cobertura siempre que sean acordes con la política de inversión del FIC.</w:t>
      </w:r>
    </w:p>
    <w:p w14:paraId="421D5B31" w14:textId="77777777" w:rsidR="003E6C16" w:rsidRDefault="003E6C16" w:rsidP="00497A23">
      <w:pPr>
        <w:pStyle w:val="Normal9pt"/>
        <w:numPr>
          <w:ilvl w:val="0"/>
          <w:numId w:val="0"/>
        </w:numPr>
        <w:rPr>
          <w:rFonts w:ascii="Verdana" w:hAnsi="Verdana"/>
          <w:b/>
          <w:sz w:val="20"/>
          <w:szCs w:val="20"/>
        </w:rPr>
      </w:pPr>
    </w:p>
    <w:p w14:paraId="47515EBF" w14:textId="67299A9D" w:rsidR="00D65BA0" w:rsidRPr="00964B84" w:rsidRDefault="00D65BA0" w:rsidP="00497A23">
      <w:pPr>
        <w:pStyle w:val="Normal9pt"/>
        <w:numPr>
          <w:ilvl w:val="0"/>
          <w:numId w:val="0"/>
        </w:numPr>
        <w:rPr>
          <w:rFonts w:ascii="Verdana" w:hAnsi="Verdana"/>
          <w:b/>
          <w:sz w:val="20"/>
          <w:szCs w:val="20"/>
        </w:rPr>
      </w:pPr>
      <w:r w:rsidRPr="00964B84">
        <w:rPr>
          <w:rFonts w:ascii="Verdana" w:hAnsi="Verdana"/>
          <w:b/>
          <w:sz w:val="20"/>
          <w:szCs w:val="20"/>
        </w:rPr>
        <w:t>Perfil de aportes y retiros y pruebas de resistencia</w:t>
      </w:r>
    </w:p>
    <w:p w14:paraId="7D29E6DF" w14:textId="77777777" w:rsidR="00497A23" w:rsidRPr="00964B84" w:rsidRDefault="00497A23" w:rsidP="00D65BA0">
      <w:pPr>
        <w:pStyle w:val="Normal9pt"/>
        <w:numPr>
          <w:ilvl w:val="0"/>
          <w:numId w:val="0"/>
        </w:numPr>
        <w:rPr>
          <w:rFonts w:ascii="Verdana" w:hAnsi="Verdana"/>
          <w:b/>
          <w:i/>
          <w:sz w:val="20"/>
          <w:szCs w:val="20"/>
        </w:rPr>
      </w:pPr>
    </w:p>
    <w:p w14:paraId="318C1924" w14:textId="5FD1852D" w:rsidR="00497A23" w:rsidRPr="000E0B7B" w:rsidRDefault="00497A23" w:rsidP="00497A23">
      <w:pPr>
        <w:spacing w:after="0"/>
        <w:rPr>
          <w:rFonts w:ascii="Verdana" w:hAnsi="Verdana"/>
          <w:sz w:val="20"/>
          <w:szCs w:val="20"/>
        </w:rPr>
      </w:pPr>
      <w:r>
        <w:rPr>
          <w:rFonts w:ascii="Verdana" w:hAnsi="Verdana"/>
          <w:sz w:val="20"/>
          <w:szCs w:val="20"/>
        </w:rPr>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33</w:t>
      </w:r>
      <w:r w:rsidRPr="000E0B7B">
        <w:rPr>
          <w:rFonts w:ascii="Verdana" w:hAnsi="Verdana"/>
          <w:sz w:val="20"/>
          <w:szCs w:val="20"/>
        </w:rPr>
        <w:t>.</w:t>
      </w:r>
    </w:p>
    <w:p w14:paraId="54EF3F89" w14:textId="23948A0E" w:rsidR="00D65BA0" w:rsidRPr="00964B84" w:rsidRDefault="00D65BA0" w:rsidP="00D65BA0">
      <w:pPr>
        <w:pStyle w:val="Normal9pt"/>
        <w:numPr>
          <w:ilvl w:val="0"/>
          <w:numId w:val="0"/>
        </w:numPr>
        <w:rPr>
          <w:rFonts w:ascii="Verdana" w:hAnsi="Verdana"/>
          <w:sz w:val="20"/>
          <w:szCs w:val="20"/>
        </w:rPr>
      </w:pPr>
      <w:r w:rsidRPr="00964B84">
        <w:rPr>
          <w:rFonts w:ascii="Verdana" w:hAnsi="Verdana"/>
          <w:sz w:val="20"/>
          <w:szCs w:val="20"/>
        </w:rPr>
        <w:t>En los casos que sea posible, los administradores de los FIC abiertos sin pacto de permanencia deben desarrollar procedimientos y mecanismos que permitan establecer, un perfil estimado de aportes y retiros de los inversionistas que, a su criterio, son materiales para la gestión del riesgo de liquidez del FIC.</w:t>
      </w:r>
    </w:p>
    <w:p w14:paraId="6AB1E89C" w14:textId="77777777" w:rsidR="003E6C16" w:rsidRDefault="003E6C16" w:rsidP="002435FA">
      <w:pPr>
        <w:spacing w:after="0"/>
        <w:rPr>
          <w:rFonts w:ascii="Verdana" w:hAnsi="Verdana"/>
          <w:sz w:val="20"/>
          <w:szCs w:val="20"/>
        </w:rPr>
      </w:pPr>
    </w:p>
    <w:p w14:paraId="2F6E0757" w14:textId="608BBE6C" w:rsidR="002435FA" w:rsidRPr="000E0B7B" w:rsidRDefault="002435FA" w:rsidP="002435FA">
      <w:pPr>
        <w:spacing w:after="0"/>
        <w:rPr>
          <w:rFonts w:ascii="Verdana" w:hAnsi="Verdana"/>
          <w:sz w:val="20"/>
          <w:szCs w:val="20"/>
        </w:rPr>
      </w:pPr>
      <w:r>
        <w:rPr>
          <w:rFonts w:ascii="Verdana" w:hAnsi="Verdana"/>
          <w:sz w:val="20"/>
          <w:szCs w:val="20"/>
        </w:rPr>
        <w:lastRenderedPageBreak/>
        <w:t>1</w:t>
      </w:r>
      <w:r w:rsidRPr="000E0B7B">
        <w:rPr>
          <w:rFonts w:ascii="Verdana" w:hAnsi="Verdana"/>
          <w:sz w:val="20"/>
          <w:szCs w:val="20"/>
        </w:rPr>
        <w:t>.</w:t>
      </w:r>
      <w:r>
        <w:rPr>
          <w:rFonts w:ascii="Verdana" w:hAnsi="Verdana"/>
          <w:sz w:val="20"/>
          <w:szCs w:val="20"/>
        </w:rPr>
        <w:t>1</w:t>
      </w:r>
      <w:r w:rsidRPr="000E0B7B">
        <w:rPr>
          <w:rFonts w:ascii="Verdana" w:hAnsi="Verdana"/>
          <w:sz w:val="20"/>
          <w:szCs w:val="20"/>
        </w:rPr>
        <w:t>.</w:t>
      </w:r>
      <w:r>
        <w:rPr>
          <w:rFonts w:ascii="Verdana" w:hAnsi="Verdana"/>
          <w:sz w:val="20"/>
          <w:szCs w:val="20"/>
        </w:rPr>
        <w:t>A11</w:t>
      </w:r>
      <w:r w:rsidRPr="000E0B7B">
        <w:rPr>
          <w:rFonts w:ascii="Verdana" w:hAnsi="Verdana"/>
          <w:sz w:val="20"/>
          <w:szCs w:val="20"/>
        </w:rPr>
        <w:t>.</w:t>
      </w:r>
      <w:r w:rsidR="00090E11">
        <w:rPr>
          <w:rFonts w:ascii="Verdana" w:hAnsi="Verdana"/>
          <w:sz w:val="20"/>
          <w:szCs w:val="20"/>
        </w:rPr>
        <w:t>34</w:t>
      </w:r>
      <w:r w:rsidRPr="000E0B7B">
        <w:rPr>
          <w:rFonts w:ascii="Verdana" w:hAnsi="Verdana"/>
          <w:sz w:val="20"/>
          <w:szCs w:val="20"/>
        </w:rPr>
        <w:t>.</w:t>
      </w:r>
    </w:p>
    <w:p w14:paraId="3C0EB177" w14:textId="03BFBFC2" w:rsidR="00D65BA0" w:rsidRPr="00964B84" w:rsidRDefault="00D65BA0" w:rsidP="00D65BA0">
      <w:pPr>
        <w:pStyle w:val="Normal9pt"/>
        <w:numPr>
          <w:ilvl w:val="0"/>
          <w:numId w:val="0"/>
        </w:numPr>
        <w:rPr>
          <w:rFonts w:ascii="Verdana" w:hAnsi="Verdana"/>
          <w:sz w:val="20"/>
          <w:szCs w:val="20"/>
        </w:rPr>
      </w:pPr>
      <w:r w:rsidRPr="00964B84">
        <w:rPr>
          <w:rFonts w:ascii="Verdana" w:hAnsi="Verdana"/>
          <w:sz w:val="20"/>
          <w:szCs w:val="20"/>
        </w:rPr>
        <w:t>La entidad debe realizar al menos mensualmente una prueba de resistencia sobre la liquidez del portafolio que tenga en cuenta la materialización de un máximo retiro probable y la desvalorización de los activos del fondo, entre otros aspectos. Los resultados de las pruebas de resistencia deben encontrarse a disposición de la SFC.</w:t>
      </w:r>
    </w:p>
    <w:sectPr w:rsidR="00D65BA0" w:rsidRPr="00964B84" w:rsidSect="003C558F">
      <w:headerReference w:type="default" r:id="rId10"/>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525AB" w14:textId="77777777" w:rsidR="00B47A8F" w:rsidRDefault="00B47A8F" w:rsidP="00057BF6">
      <w:pPr>
        <w:spacing w:after="0" w:line="240" w:lineRule="auto"/>
      </w:pPr>
      <w:r>
        <w:separator/>
      </w:r>
    </w:p>
  </w:endnote>
  <w:endnote w:type="continuationSeparator" w:id="0">
    <w:p w14:paraId="78DCEB46" w14:textId="77777777" w:rsidR="00B47A8F" w:rsidRDefault="00B47A8F" w:rsidP="00057B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4CFF0" w14:textId="77777777" w:rsidR="00B47A8F" w:rsidRDefault="00B47A8F" w:rsidP="00057BF6">
      <w:pPr>
        <w:spacing w:after="0" w:line="240" w:lineRule="auto"/>
      </w:pPr>
      <w:r>
        <w:separator/>
      </w:r>
    </w:p>
  </w:footnote>
  <w:footnote w:type="continuationSeparator" w:id="0">
    <w:p w14:paraId="2E0667F1" w14:textId="77777777" w:rsidR="00B47A8F" w:rsidRDefault="00B47A8F" w:rsidP="00057B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DA766D9"/>
    <w:multiLevelType w:val="hybridMultilevel"/>
    <w:tmpl w:val="9C7E0C1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03201A"/>
    <w:multiLevelType w:val="hybridMultilevel"/>
    <w:tmpl w:val="FAE23DC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7FE236D"/>
    <w:multiLevelType w:val="hybridMultilevel"/>
    <w:tmpl w:val="B1D61644"/>
    <w:lvl w:ilvl="0" w:tplc="240A0019">
      <w:start w:val="1"/>
      <w:numFmt w:val="lowerLetter"/>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5" w15:restartNumberingAfterBreak="0">
    <w:nsid w:val="2B230FF0"/>
    <w:multiLevelType w:val="hybridMultilevel"/>
    <w:tmpl w:val="A22E4176"/>
    <w:lvl w:ilvl="0" w:tplc="DF32FC5A">
      <w:start w:val="1"/>
      <w:numFmt w:val="lowerLetter"/>
      <w:lvlText w:val="%1."/>
      <w:lvlJc w:val="left"/>
      <w:pPr>
        <w:ind w:left="720" w:hanging="360"/>
      </w:pPr>
      <w:rPr>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7207D1D"/>
    <w:multiLevelType w:val="hybridMultilevel"/>
    <w:tmpl w:val="9C387CE6"/>
    <w:lvl w:ilvl="0" w:tplc="240A0019">
      <w:start w:val="1"/>
      <w:numFmt w:val="lowerLetter"/>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BD94090"/>
    <w:multiLevelType w:val="hybridMultilevel"/>
    <w:tmpl w:val="8B98B2A0"/>
    <w:lvl w:ilvl="0" w:tplc="5702470E">
      <w:start w:val="1"/>
      <w:numFmt w:val="lowerLetter"/>
      <w:lvlText w:val="%1."/>
      <w:lvlJc w:val="left"/>
      <w:pPr>
        <w:ind w:left="720" w:hanging="360"/>
      </w:pPr>
      <w:rPr>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75A01FB"/>
    <w:multiLevelType w:val="hybridMultilevel"/>
    <w:tmpl w:val="71FC3048"/>
    <w:lvl w:ilvl="0" w:tplc="9AF8C146">
      <w:start w:val="1"/>
      <w:numFmt w:val="lowerLetter"/>
      <w:lvlText w:val="%1."/>
      <w:lvlJc w:val="left"/>
      <w:pPr>
        <w:ind w:left="720" w:hanging="360"/>
      </w:pPr>
      <w:rPr>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8C80CE7"/>
    <w:multiLevelType w:val="hybridMultilevel"/>
    <w:tmpl w:val="02B8A52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F0273CE"/>
    <w:multiLevelType w:val="hybridMultilevel"/>
    <w:tmpl w:val="5296DF9C"/>
    <w:lvl w:ilvl="0" w:tplc="2494B116">
      <w:start w:val="1"/>
      <w:numFmt w:val="lowerLetter"/>
      <w:lvlText w:val="%1."/>
      <w:lvlJc w:val="left"/>
      <w:pPr>
        <w:ind w:left="720" w:hanging="360"/>
      </w:pPr>
      <w:rPr>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7C854148"/>
    <w:multiLevelType w:val="hybridMultilevel"/>
    <w:tmpl w:val="5FFA5C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80435568">
    <w:abstractNumId w:val="11"/>
  </w:num>
  <w:num w:numId="2" w16cid:durableId="1362513633">
    <w:abstractNumId w:val="0"/>
  </w:num>
  <w:num w:numId="3" w16cid:durableId="1101297583">
    <w:abstractNumId w:val="4"/>
  </w:num>
  <w:num w:numId="4" w16cid:durableId="217396287">
    <w:abstractNumId w:val="6"/>
  </w:num>
  <w:num w:numId="5" w16cid:durableId="1689868358">
    <w:abstractNumId w:val="5"/>
  </w:num>
  <w:num w:numId="6" w16cid:durableId="147795078">
    <w:abstractNumId w:val="7"/>
  </w:num>
  <w:num w:numId="7" w16cid:durableId="1325400951">
    <w:abstractNumId w:val="1"/>
  </w:num>
  <w:num w:numId="8" w16cid:durableId="1864782175">
    <w:abstractNumId w:val="10"/>
  </w:num>
  <w:num w:numId="9" w16cid:durableId="1114396992">
    <w:abstractNumId w:val="8"/>
  </w:num>
  <w:num w:numId="10" w16cid:durableId="1254044861">
    <w:abstractNumId w:val="12"/>
  </w:num>
  <w:num w:numId="11" w16cid:durableId="530144237">
    <w:abstractNumId w:val="3"/>
  </w:num>
  <w:num w:numId="12" w16cid:durableId="723649278">
    <w:abstractNumId w:val="9"/>
  </w:num>
  <w:num w:numId="13" w16cid:durableId="149102284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5301"/>
    <w:rsid w:val="000152BB"/>
    <w:rsid w:val="00044B0E"/>
    <w:rsid w:val="00057BF6"/>
    <w:rsid w:val="0006736C"/>
    <w:rsid w:val="0007178A"/>
    <w:rsid w:val="00077A99"/>
    <w:rsid w:val="00090E11"/>
    <w:rsid w:val="00092494"/>
    <w:rsid w:val="0009691E"/>
    <w:rsid w:val="0009700E"/>
    <w:rsid w:val="000A696B"/>
    <w:rsid w:val="00111401"/>
    <w:rsid w:val="0011223B"/>
    <w:rsid w:val="00125E32"/>
    <w:rsid w:val="00130B34"/>
    <w:rsid w:val="00141E37"/>
    <w:rsid w:val="00171B5A"/>
    <w:rsid w:val="00187F2B"/>
    <w:rsid w:val="00191CD2"/>
    <w:rsid w:val="001947D2"/>
    <w:rsid w:val="001B112C"/>
    <w:rsid w:val="001B5187"/>
    <w:rsid w:val="001C78B9"/>
    <w:rsid w:val="001D161C"/>
    <w:rsid w:val="001E0C9F"/>
    <w:rsid w:val="001E66FD"/>
    <w:rsid w:val="00214A2D"/>
    <w:rsid w:val="0021666A"/>
    <w:rsid w:val="002167E5"/>
    <w:rsid w:val="00217B45"/>
    <w:rsid w:val="0022716E"/>
    <w:rsid w:val="00231443"/>
    <w:rsid w:val="002345B8"/>
    <w:rsid w:val="002435FA"/>
    <w:rsid w:val="0025040C"/>
    <w:rsid w:val="00252A18"/>
    <w:rsid w:val="00260745"/>
    <w:rsid w:val="00271254"/>
    <w:rsid w:val="002714A6"/>
    <w:rsid w:val="0027156C"/>
    <w:rsid w:val="00280ADB"/>
    <w:rsid w:val="00294D1E"/>
    <w:rsid w:val="002A210F"/>
    <w:rsid w:val="002A46D6"/>
    <w:rsid w:val="002B42E9"/>
    <w:rsid w:val="002B4F4A"/>
    <w:rsid w:val="002E4874"/>
    <w:rsid w:val="002F2FA1"/>
    <w:rsid w:val="002F5CF4"/>
    <w:rsid w:val="003125BB"/>
    <w:rsid w:val="00312F48"/>
    <w:rsid w:val="00331C2C"/>
    <w:rsid w:val="00343785"/>
    <w:rsid w:val="0035024E"/>
    <w:rsid w:val="00360117"/>
    <w:rsid w:val="0036407F"/>
    <w:rsid w:val="00367880"/>
    <w:rsid w:val="00374EE4"/>
    <w:rsid w:val="00375F63"/>
    <w:rsid w:val="003878FC"/>
    <w:rsid w:val="003A5CFE"/>
    <w:rsid w:val="003C06A7"/>
    <w:rsid w:val="003C558F"/>
    <w:rsid w:val="003C726D"/>
    <w:rsid w:val="003E560A"/>
    <w:rsid w:val="003E631A"/>
    <w:rsid w:val="003E6C16"/>
    <w:rsid w:val="003E7191"/>
    <w:rsid w:val="003E7F83"/>
    <w:rsid w:val="003F5B22"/>
    <w:rsid w:val="0040498E"/>
    <w:rsid w:val="00405030"/>
    <w:rsid w:val="00406D2B"/>
    <w:rsid w:val="00406EA1"/>
    <w:rsid w:val="0040743F"/>
    <w:rsid w:val="00426141"/>
    <w:rsid w:val="0043223D"/>
    <w:rsid w:val="004362B9"/>
    <w:rsid w:val="00444AD8"/>
    <w:rsid w:val="0048383C"/>
    <w:rsid w:val="00497A23"/>
    <w:rsid w:val="004B3735"/>
    <w:rsid w:val="004C381D"/>
    <w:rsid w:val="004E2C89"/>
    <w:rsid w:val="004F2B57"/>
    <w:rsid w:val="00503F86"/>
    <w:rsid w:val="005153C4"/>
    <w:rsid w:val="00516CD7"/>
    <w:rsid w:val="00526B0C"/>
    <w:rsid w:val="0052745C"/>
    <w:rsid w:val="00544A86"/>
    <w:rsid w:val="00545405"/>
    <w:rsid w:val="00557541"/>
    <w:rsid w:val="0055785C"/>
    <w:rsid w:val="00577428"/>
    <w:rsid w:val="005872F9"/>
    <w:rsid w:val="0059439C"/>
    <w:rsid w:val="00596B88"/>
    <w:rsid w:val="005A6B81"/>
    <w:rsid w:val="005C7498"/>
    <w:rsid w:val="005D5292"/>
    <w:rsid w:val="005E55AB"/>
    <w:rsid w:val="005F3CA8"/>
    <w:rsid w:val="00605E28"/>
    <w:rsid w:val="0061423F"/>
    <w:rsid w:val="006267D9"/>
    <w:rsid w:val="00640150"/>
    <w:rsid w:val="00653ABF"/>
    <w:rsid w:val="00665A43"/>
    <w:rsid w:val="006672AB"/>
    <w:rsid w:val="006A66A9"/>
    <w:rsid w:val="006C0E44"/>
    <w:rsid w:val="006D2376"/>
    <w:rsid w:val="006D5114"/>
    <w:rsid w:val="006E0A38"/>
    <w:rsid w:val="006F5E93"/>
    <w:rsid w:val="00700F8A"/>
    <w:rsid w:val="0071338B"/>
    <w:rsid w:val="00721D02"/>
    <w:rsid w:val="007422A7"/>
    <w:rsid w:val="007426CA"/>
    <w:rsid w:val="00754C50"/>
    <w:rsid w:val="00766379"/>
    <w:rsid w:val="007663B9"/>
    <w:rsid w:val="00770B66"/>
    <w:rsid w:val="007727E5"/>
    <w:rsid w:val="00776293"/>
    <w:rsid w:val="007A302E"/>
    <w:rsid w:val="007A4231"/>
    <w:rsid w:val="007C50E0"/>
    <w:rsid w:val="007F1E30"/>
    <w:rsid w:val="007F6230"/>
    <w:rsid w:val="00810E95"/>
    <w:rsid w:val="008150F3"/>
    <w:rsid w:val="0081675F"/>
    <w:rsid w:val="00817F07"/>
    <w:rsid w:val="0082329A"/>
    <w:rsid w:val="00844AE6"/>
    <w:rsid w:val="00847413"/>
    <w:rsid w:val="00857846"/>
    <w:rsid w:val="00866104"/>
    <w:rsid w:val="00877A5C"/>
    <w:rsid w:val="00892FE3"/>
    <w:rsid w:val="00895F78"/>
    <w:rsid w:val="008A4BA6"/>
    <w:rsid w:val="008D6294"/>
    <w:rsid w:val="008F742C"/>
    <w:rsid w:val="00906336"/>
    <w:rsid w:val="0092745E"/>
    <w:rsid w:val="00940B29"/>
    <w:rsid w:val="00956EC8"/>
    <w:rsid w:val="009571FD"/>
    <w:rsid w:val="0096455B"/>
    <w:rsid w:val="00964B84"/>
    <w:rsid w:val="00987EEE"/>
    <w:rsid w:val="00993656"/>
    <w:rsid w:val="009A2823"/>
    <w:rsid w:val="009B6D85"/>
    <w:rsid w:val="009C088E"/>
    <w:rsid w:val="009C3E38"/>
    <w:rsid w:val="009D6127"/>
    <w:rsid w:val="009D725D"/>
    <w:rsid w:val="009F623E"/>
    <w:rsid w:val="00A14484"/>
    <w:rsid w:val="00A17778"/>
    <w:rsid w:val="00A36383"/>
    <w:rsid w:val="00A41E5E"/>
    <w:rsid w:val="00A4255B"/>
    <w:rsid w:val="00A50989"/>
    <w:rsid w:val="00A634AD"/>
    <w:rsid w:val="00A64CAA"/>
    <w:rsid w:val="00A823A6"/>
    <w:rsid w:val="00A9232C"/>
    <w:rsid w:val="00AA73D7"/>
    <w:rsid w:val="00AC019B"/>
    <w:rsid w:val="00AC5555"/>
    <w:rsid w:val="00AD387F"/>
    <w:rsid w:val="00AF07D1"/>
    <w:rsid w:val="00B0524A"/>
    <w:rsid w:val="00B0713C"/>
    <w:rsid w:val="00B17975"/>
    <w:rsid w:val="00B27850"/>
    <w:rsid w:val="00B4485B"/>
    <w:rsid w:val="00B47A8F"/>
    <w:rsid w:val="00B52A3F"/>
    <w:rsid w:val="00B931BE"/>
    <w:rsid w:val="00BE16D3"/>
    <w:rsid w:val="00BE5D42"/>
    <w:rsid w:val="00BF1FC5"/>
    <w:rsid w:val="00C06432"/>
    <w:rsid w:val="00C11431"/>
    <w:rsid w:val="00C1630A"/>
    <w:rsid w:val="00C3660B"/>
    <w:rsid w:val="00C47FB3"/>
    <w:rsid w:val="00C54237"/>
    <w:rsid w:val="00C72984"/>
    <w:rsid w:val="00CA11DA"/>
    <w:rsid w:val="00CA1970"/>
    <w:rsid w:val="00CA27F2"/>
    <w:rsid w:val="00CA3BF1"/>
    <w:rsid w:val="00CC3647"/>
    <w:rsid w:val="00CC6142"/>
    <w:rsid w:val="00CE134C"/>
    <w:rsid w:val="00CE1829"/>
    <w:rsid w:val="00CF0120"/>
    <w:rsid w:val="00CF5613"/>
    <w:rsid w:val="00D12D5D"/>
    <w:rsid w:val="00D3504C"/>
    <w:rsid w:val="00D4141F"/>
    <w:rsid w:val="00D426B4"/>
    <w:rsid w:val="00D50137"/>
    <w:rsid w:val="00D60D27"/>
    <w:rsid w:val="00D65BA0"/>
    <w:rsid w:val="00D74F39"/>
    <w:rsid w:val="00D75ECB"/>
    <w:rsid w:val="00D95E56"/>
    <w:rsid w:val="00DA0C0E"/>
    <w:rsid w:val="00DB32FB"/>
    <w:rsid w:val="00DB3370"/>
    <w:rsid w:val="00DD2451"/>
    <w:rsid w:val="00DE275A"/>
    <w:rsid w:val="00DE5762"/>
    <w:rsid w:val="00DE692B"/>
    <w:rsid w:val="00DF7020"/>
    <w:rsid w:val="00E03CCC"/>
    <w:rsid w:val="00E153F5"/>
    <w:rsid w:val="00E2418B"/>
    <w:rsid w:val="00E36D12"/>
    <w:rsid w:val="00E56A3C"/>
    <w:rsid w:val="00E679B4"/>
    <w:rsid w:val="00E91980"/>
    <w:rsid w:val="00EA1594"/>
    <w:rsid w:val="00EA74F4"/>
    <w:rsid w:val="00EB1260"/>
    <w:rsid w:val="00EB2FFB"/>
    <w:rsid w:val="00EB597D"/>
    <w:rsid w:val="00EC294A"/>
    <w:rsid w:val="00ED1993"/>
    <w:rsid w:val="00ED5E72"/>
    <w:rsid w:val="00EE31F5"/>
    <w:rsid w:val="00EF06DC"/>
    <w:rsid w:val="00EF7F3A"/>
    <w:rsid w:val="00F03C19"/>
    <w:rsid w:val="00F20B49"/>
    <w:rsid w:val="00F220D1"/>
    <w:rsid w:val="00F43F00"/>
    <w:rsid w:val="00F53A19"/>
    <w:rsid w:val="00F64AC7"/>
    <w:rsid w:val="00F658DD"/>
    <w:rsid w:val="00F90725"/>
    <w:rsid w:val="00F91716"/>
    <w:rsid w:val="00F953C4"/>
    <w:rsid w:val="00F966FF"/>
    <w:rsid w:val="00FA65F1"/>
    <w:rsid w:val="00FB1699"/>
    <w:rsid w:val="00FC6529"/>
    <w:rsid w:val="00FD4D74"/>
    <w:rsid w:val="00FE0B0E"/>
    <w:rsid w:val="00FF2D18"/>
    <w:rsid w:val="00FF3489"/>
    <w:rsid w:val="00FF3B4E"/>
    <w:rsid w:val="00FF65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2EC55982-C76D-4B90-A62C-733B04735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A3C"/>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uiPriority w:val="99"/>
    <w:rsid w:val="004362B9"/>
    <w:rPr>
      <w:sz w:val="16"/>
      <w:szCs w:val="16"/>
    </w:rPr>
  </w:style>
  <w:style w:type="paragraph" w:styleId="Textocomentario">
    <w:name w:val="annotation text"/>
    <w:basedOn w:val="Normal"/>
    <w:link w:val="TextocomentarioCar"/>
    <w:uiPriority w:val="99"/>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uiPriority w:val="99"/>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semiHidden/>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customStyle="1" w:styleId="Normal9pt">
    <w:name w:val="Normal + 9 pt"/>
    <w:aliases w:val="Sin Expandido / Comprimido"/>
    <w:basedOn w:val="Textoindependiente"/>
    <w:rsid w:val="00D65BA0"/>
    <w:pPr>
      <w:numPr>
        <w:numId w:val="3"/>
      </w:numPr>
    </w:pPr>
    <w:rPr>
      <w:rFonts w:cs="Arial"/>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FF0E48-35D5-4BAC-889B-383B8F140A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714B54-B85F-4011-8513-0EDCCDC77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6</Pages>
  <Words>2539</Words>
  <Characters>13063</Characters>
  <Application>Microsoft Office Word</Application>
  <DocSecurity>0</DocSecurity>
  <Lines>330</Lines>
  <Paragraphs>125</Paragraphs>
  <ScaleCrop>false</ScaleCrop>
  <Company/>
  <LinksUpToDate>false</LinksUpToDate>
  <CharactersWithSpaces>15489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229</cp:revision>
  <dcterms:created xsi:type="dcterms:W3CDTF">2025-02-08T23:11:00Z</dcterms:created>
  <dcterms:modified xsi:type="dcterms:W3CDTF">2026-04-13T00:31:00Z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93100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